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C18" w:rsidRPr="00AA0C18" w:rsidRDefault="00AA0C18" w:rsidP="00AA0C18">
      <w:pPr>
        <w:keepNext/>
        <w:keepLines/>
        <w:shd w:val="clear" w:color="auto" w:fill="FFFFFF"/>
        <w:spacing w:after="0" w:line="480" w:lineRule="auto"/>
        <w:jc w:val="both"/>
        <w:outlineLvl w:val="5"/>
        <w:rPr>
          <w:rFonts w:ascii="Times New Roman" w:eastAsia="Times New Roman" w:hAnsi="Times New Roman" w:cs="Times New Roman"/>
          <w:b/>
          <w:bCs/>
          <w:sz w:val="24"/>
          <w:szCs w:val="24"/>
        </w:rPr>
      </w:pPr>
      <w:bookmarkStart w:id="0" w:name="_Hlk154502444"/>
      <w:r w:rsidRPr="00AA0C18">
        <w:rPr>
          <w:rFonts w:ascii="Times New Roman" w:eastAsia="Times New Roman" w:hAnsi="Times New Roman" w:cs="Times New Roman"/>
          <w:b/>
          <w:bCs/>
          <w:sz w:val="24"/>
          <w:szCs w:val="24"/>
        </w:rPr>
        <w:t xml:space="preserve">XRD Analysis of </w:t>
      </w:r>
      <w:proofErr w:type="spellStart"/>
      <w:r w:rsidRPr="00AA0C18">
        <w:rPr>
          <w:rFonts w:ascii="Times New Roman" w:eastAsia="Times New Roman" w:hAnsi="Times New Roman" w:cs="Times New Roman"/>
          <w:b/>
          <w:bCs/>
          <w:sz w:val="24"/>
          <w:szCs w:val="24"/>
        </w:rPr>
        <w:t>biosorbents</w:t>
      </w:r>
      <w:proofErr w:type="spellEnd"/>
    </w:p>
    <w:p w:rsidR="00AA0C18" w:rsidRDefault="00AA0C18" w:rsidP="00AA0C18">
      <w:pPr>
        <w:spacing w:after="0" w:line="480" w:lineRule="auto"/>
        <w:jc w:val="both"/>
        <w:rPr>
          <w:rFonts w:ascii="Times New Roman" w:eastAsia="Calibri" w:hAnsi="Times New Roman" w:cs="Times New Roman"/>
          <w:sz w:val="24"/>
          <w:szCs w:val="24"/>
        </w:rPr>
      </w:pPr>
      <w:r w:rsidRPr="00AA0C18">
        <w:rPr>
          <w:rFonts w:ascii="Times New Roman" w:eastAsia="Calibri" w:hAnsi="Times New Roman" w:cs="Times New Roman"/>
          <w:sz w:val="24"/>
          <w:szCs w:val="24"/>
        </w:rPr>
        <w:t xml:space="preserve">XRD serves as a valuable technique for examining crystal properties. In this study, XRD analysis was employed to explore the phases and structural characteristics of both PDB and DPS. The XRD test results are showcased in figure </w:t>
      </w:r>
      <w:r>
        <w:rPr>
          <w:rFonts w:ascii="Times New Roman" w:eastAsia="Calibri" w:hAnsi="Times New Roman" w:cs="Times New Roman"/>
          <w:sz w:val="24"/>
          <w:szCs w:val="24"/>
        </w:rPr>
        <w:t>S-1</w:t>
      </w:r>
      <w:r w:rsidRPr="00AA0C18">
        <w:rPr>
          <w:rFonts w:ascii="Times New Roman" w:eastAsia="Calibri" w:hAnsi="Times New Roman" w:cs="Times New Roman"/>
          <w:sz w:val="24"/>
          <w:szCs w:val="24"/>
        </w:rPr>
        <w:t>, covering the 2θ from 10°- 90° range. This broad range was selected to thoroughly examine and assess the complete diffraction patterns of the samples, focusing specifically on the distinctive characteristics of PDB and DPS. The XRD chart representing PDB exhibits notable broad diffraction peaks at</w:t>
      </w:r>
      <w:r w:rsidRPr="00AA0C18">
        <w:rPr>
          <w:rFonts w:ascii="STIXGeneral-Regular" w:eastAsia="Calibri" w:hAnsi="STIXGeneral-Regular" w:cs="Arial"/>
        </w:rPr>
        <w:t xml:space="preserve"> </w:t>
      </w:r>
      <w:r w:rsidRPr="00AA0C18">
        <w:rPr>
          <w:rFonts w:ascii="Times New Roman" w:eastAsia="Calibri" w:hAnsi="Times New Roman" w:cs="Times New Roman"/>
          <w:sz w:val="24"/>
          <w:szCs w:val="24"/>
        </w:rPr>
        <w:t>2θ around 11.49 and 20.54º, attributed to cellulose along with various smaller peaks across the remaining range. Conversely, the XRD chart for DPS illustrates distinct peaks at 2θ near 16.34 and 20.38º, ascribed to cellulose and several additional peaks within other ranges. These different tiny peaks in PDB and DPS curves are noticeable, and they could be related to the specimen's water content or the presence of trace pollutants. These unique peak forms and patterns in the XRD spectra provide information about the phases and structures found in the PDB and DPS samples.</w:t>
      </w:r>
    </w:p>
    <w:p w:rsidR="000375ED" w:rsidRDefault="000375ED" w:rsidP="007E2A14">
      <w:pPr>
        <w:spacing w:after="0" w:line="480" w:lineRule="auto"/>
        <w:jc w:val="center"/>
        <w:rPr>
          <w:rFonts w:ascii="Times New Roman" w:eastAsia="Calibri" w:hAnsi="Times New Roman" w:cs="Times New Roman"/>
          <w:sz w:val="24"/>
          <w:szCs w:val="24"/>
        </w:rPr>
      </w:pPr>
      <w:r w:rsidRPr="00F00D04">
        <w:rPr>
          <w:noProof/>
          <w:lang w:val="en-GB" w:eastAsia="en-GB"/>
        </w:rPr>
        <w:drawing>
          <wp:inline distT="0" distB="0" distL="0" distR="0" wp14:anchorId="3F68E5C0" wp14:editId="3642D17D">
            <wp:extent cx="4502150" cy="3597655"/>
            <wp:effectExtent l="0" t="0" r="0" b="3175"/>
            <wp:docPr id="25339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98833" name=""/>
                    <pic:cNvPicPr/>
                  </pic:nvPicPr>
                  <pic:blipFill rotWithShape="1">
                    <a:blip r:embed="rId4"/>
                    <a:srcRect l="9548" t="10391" r="13543" b="2029"/>
                    <a:stretch/>
                  </pic:blipFill>
                  <pic:spPr bwMode="auto">
                    <a:xfrm>
                      <a:off x="0" y="0"/>
                      <a:ext cx="4510224" cy="3604107"/>
                    </a:xfrm>
                    <a:prstGeom prst="rect">
                      <a:avLst/>
                    </a:prstGeom>
                    <a:ln>
                      <a:noFill/>
                    </a:ln>
                    <a:extLst>
                      <a:ext uri="{53640926-AAD7-44D8-BBD7-CCE9431645EC}">
                        <a14:shadowObscured xmlns:a14="http://schemas.microsoft.com/office/drawing/2010/main"/>
                      </a:ext>
                    </a:extLst>
                  </pic:spPr>
                </pic:pic>
              </a:graphicData>
            </a:graphic>
          </wp:inline>
        </w:drawing>
      </w:r>
    </w:p>
    <w:p w:rsidR="000375ED" w:rsidRDefault="000375ED" w:rsidP="007E2A14">
      <w:pPr>
        <w:pStyle w:val="NormalWeb"/>
        <w:spacing w:before="0" w:beforeAutospacing="0" w:after="0" w:afterAutospacing="0" w:line="480" w:lineRule="auto"/>
        <w:jc w:val="center"/>
      </w:pPr>
      <w:r>
        <w:rPr>
          <w:rFonts w:eastAsia="Calibri"/>
        </w:rPr>
        <w:t>Figure S-1</w:t>
      </w:r>
      <w:r w:rsidRPr="00BD46D0">
        <w:t xml:space="preserve">. XRD analysis of PDB and DPS </w:t>
      </w:r>
      <w:proofErr w:type="spellStart"/>
      <w:r w:rsidRPr="00BD46D0">
        <w:t>biosorbents</w:t>
      </w:r>
      <w:proofErr w:type="spellEnd"/>
    </w:p>
    <w:p w:rsidR="000C2965" w:rsidRPr="000C2965" w:rsidRDefault="000C2965" w:rsidP="000C2965">
      <w:pPr>
        <w:overflowPunct w:val="0"/>
        <w:autoSpaceDE w:val="0"/>
        <w:autoSpaceDN w:val="0"/>
        <w:adjustRightInd w:val="0"/>
        <w:spacing w:after="0" w:line="480" w:lineRule="auto"/>
        <w:jc w:val="both"/>
        <w:textAlignment w:val="baseline"/>
        <w:rPr>
          <w:rFonts w:ascii="Times New Roman" w:eastAsia="Times New Roman" w:hAnsi="Times New Roman" w:cs="Times New Roman"/>
          <w:b/>
          <w:bCs/>
          <w:sz w:val="24"/>
          <w:szCs w:val="24"/>
        </w:rPr>
      </w:pPr>
      <w:r w:rsidRPr="000C2965">
        <w:rPr>
          <w:rFonts w:asciiTheme="majorBidi" w:hAnsiTheme="majorBidi" w:cstheme="majorBidi"/>
          <w:b/>
          <w:bCs/>
          <w:sz w:val="24"/>
          <w:szCs w:val="24"/>
        </w:rPr>
        <w:lastRenderedPageBreak/>
        <w:t>Barrett-Joyner-</w:t>
      </w:r>
      <w:proofErr w:type="spellStart"/>
      <w:r w:rsidRPr="000C2965">
        <w:rPr>
          <w:rFonts w:asciiTheme="majorBidi" w:hAnsiTheme="majorBidi" w:cstheme="majorBidi"/>
          <w:b/>
          <w:bCs/>
          <w:sz w:val="24"/>
          <w:szCs w:val="24"/>
        </w:rPr>
        <w:t>Halenda</w:t>
      </w:r>
      <w:proofErr w:type="spellEnd"/>
      <w:r w:rsidRPr="000C2965">
        <w:rPr>
          <w:rFonts w:asciiTheme="majorBidi" w:hAnsiTheme="majorBidi" w:cstheme="majorBidi"/>
          <w:b/>
          <w:bCs/>
          <w:sz w:val="24"/>
          <w:szCs w:val="24"/>
        </w:rPr>
        <w:t xml:space="preserve"> (</w:t>
      </w:r>
      <w:r w:rsidRPr="000C2965">
        <w:rPr>
          <w:rFonts w:ascii="Times New Roman" w:eastAsia="Times New Roman" w:hAnsi="Times New Roman" w:cs="Times New Roman"/>
          <w:b/>
          <w:bCs/>
          <w:sz w:val="24"/>
          <w:szCs w:val="24"/>
        </w:rPr>
        <w:t>BJH) pore size distribution</w:t>
      </w:r>
    </w:p>
    <w:p w:rsidR="000C2965" w:rsidRDefault="000C2965" w:rsidP="000C2965">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00D04">
        <w:rPr>
          <w:rFonts w:ascii="Times New Roman" w:eastAsia="Times New Roman" w:hAnsi="Times New Roman" w:cs="Times New Roman"/>
          <w:sz w:val="24"/>
          <w:szCs w:val="24"/>
        </w:rPr>
        <w:t xml:space="preserve">Figure </w:t>
      </w:r>
      <w:r>
        <w:rPr>
          <w:rFonts w:ascii="Times New Roman" w:eastAsia="Times New Roman" w:hAnsi="Times New Roman" w:cs="Times New Roman"/>
          <w:sz w:val="24"/>
          <w:szCs w:val="24"/>
        </w:rPr>
        <w:t>S-2</w:t>
      </w:r>
      <w:r w:rsidRPr="00F00D04">
        <w:rPr>
          <w:rFonts w:ascii="Times New Roman" w:eastAsia="Times New Roman" w:hAnsi="Times New Roman" w:cs="Times New Roman"/>
          <w:sz w:val="24"/>
          <w:szCs w:val="24"/>
        </w:rPr>
        <w:t xml:space="preserve"> showcases the </w:t>
      </w:r>
      <w:r w:rsidRPr="00F00D04">
        <w:rPr>
          <w:rFonts w:asciiTheme="majorBidi" w:hAnsiTheme="majorBidi" w:cstheme="majorBidi"/>
          <w:sz w:val="24"/>
          <w:szCs w:val="24"/>
        </w:rPr>
        <w:t>Barrett-Joyner-</w:t>
      </w:r>
      <w:proofErr w:type="spellStart"/>
      <w:r w:rsidRPr="00F00D04">
        <w:rPr>
          <w:rFonts w:asciiTheme="majorBidi" w:hAnsiTheme="majorBidi" w:cstheme="majorBidi"/>
          <w:sz w:val="24"/>
          <w:szCs w:val="24"/>
        </w:rPr>
        <w:t>Halenda</w:t>
      </w:r>
      <w:proofErr w:type="spellEnd"/>
      <w:r w:rsidRPr="00F00D04">
        <w:rPr>
          <w:rFonts w:asciiTheme="majorBidi" w:hAnsiTheme="majorBidi" w:cstheme="majorBidi"/>
          <w:sz w:val="24"/>
          <w:szCs w:val="24"/>
        </w:rPr>
        <w:t xml:space="preserve"> (</w:t>
      </w:r>
      <w:r w:rsidRPr="00F00D04">
        <w:rPr>
          <w:rFonts w:ascii="Times New Roman" w:eastAsia="Times New Roman" w:hAnsi="Times New Roman" w:cs="Times New Roman"/>
          <w:sz w:val="24"/>
          <w:szCs w:val="24"/>
        </w:rPr>
        <w:t>BJH) pore size distribution (PSD) of PDB and DPS. Evidently, the PSD curve of PDB, which is based on the adsorption branches, presents a distinct peak at 2.9 nm. In the same way, the peak of DPS is centered around 2.4 nm. These outcomes affirm the homogeneous mesoporous properties of both PDB and DPS.</w:t>
      </w:r>
    </w:p>
    <w:p w:rsidR="000C2965" w:rsidRPr="00F00D04" w:rsidRDefault="000C2965" w:rsidP="000C2965">
      <w:pPr>
        <w:autoSpaceDE w:val="0"/>
        <w:autoSpaceDN w:val="0"/>
        <w:adjustRightInd w:val="0"/>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lang w:val="en-GB" w:eastAsia="en-GB"/>
        </w:rPr>
        <w:drawing>
          <wp:inline distT="0" distB="0" distL="0" distR="0" wp14:anchorId="17D2D2BF" wp14:editId="0DEBB18C">
            <wp:extent cx="4823567" cy="3816928"/>
            <wp:effectExtent l="0" t="0" r="0" b="0"/>
            <wp:docPr id="1" name="Picture 1" descr="PSD OF PDB AND D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D OF PDB AND DPS"/>
                    <pic:cNvPicPr>
                      <a:picLocks noChangeAspect="1" noChangeArrowheads="1"/>
                    </pic:cNvPicPr>
                  </pic:nvPicPr>
                  <pic:blipFill>
                    <a:blip r:embed="rId5" cstate="print">
                      <a:extLst>
                        <a:ext uri="{28A0092B-C50C-407E-A947-70E740481C1C}">
                          <a14:useLocalDpi xmlns:a14="http://schemas.microsoft.com/office/drawing/2010/main" val="0"/>
                        </a:ext>
                      </a:extLst>
                    </a:blip>
                    <a:srcRect l="5913" t="10228" r="12000" b="4773"/>
                    <a:stretch>
                      <a:fillRect/>
                    </a:stretch>
                  </pic:blipFill>
                  <pic:spPr bwMode="auto">
                    <a:xfrm>
                      <a:off x="0" y="0"/>
                      <a:ext cx="4834168" cy="3825316"/>
                    </a:xfrm>
                    <a:prstGeom prst="rect">
                      <a:avLst/>
                    </a:prstGeom>
                    <a:noFill/>
                    <a:ln>
                      <a:noFill/>
                    </a:ln>
                  </pic:spPr>
                </pic:pic>
              </a:graphicData>
            </a:graphic>
          </wp:inline>
        </w:drawing>
      </w:r>
    </w:p>
    <w:p w:rsidR="000C2965" w:rsidRPr="00EB3E7F" w:rsidRDefault="000C2965" w:rsidP="000C2965">
      <w:pPr>
        <w:autoSpaceDE w:val="0"/>
        <w:autoSpaceDN w:val="0"/>
        <w:adjustRightInd w:val="0"/>
        <w:spacing w:after="0" w:line="360" w:lineRule="auto"/>
        <w:jc w:val="center"/>
        <w:rPr>
          <w:rFonts w:asciiTheme="majorBidi" w:hAnsiTheme="majorBidi" w:cstheme="majorBidi"/>
          <w:b/>
          <w:bCs/>
          <w:sz w:val="24"/>
          <w:szCs w:val="24"/>
        </w:rPr>
      </w:pPr>
      <w:bookmarkStart w:id="1" w:name="_Hlk154501107"/>
      <w:r w:rsidRPr="000C2965">
        <w:rPr>
          <w:rFonts w:asciiTheme="majorBidi" w:hAnsiTheme="majorBidi" w:cstheme="majorBidi"/>
          <w:sz w:val="24"/>
          <w:szCs w:val="24"/>
        </w:rPr>
        <w:t>Figure</w:t>
      </w:r>
      <w:r w:rsidRPr="000C2965">
        <w:rPr>
          <w:rFonts w:asciiTheme="majorBidi" w:hAnsiTheme="majorBidi" w:cstheme="majorBidi"/>
          <w:sz w:val="24"/>
          <w:szCs w:val="24"/>
        </w:rPr>
        <w:t xml:space="preserve"> S</w:t>
      </w:r>
      <w:r w:rsidRPr="000C2965">
        <w:rPr>
          <w:rFonts w:asciiTheme="majorBidi" w:hAnsiTheme="majorBidi" w:cstheme="majorBidi"/>
          <w:sz w:val="24"/>
          <w:szCs w:val="24"/>
        </w:rPr>
        <w:t>-2</w:t>
      </w:r>
      <w:bookmarkEnd w:id="1"/>
      <w:r w:rsidRPr="000C2965">
        <w:rPr>
          <w:rFonts w:asciiTheme="majorBidi" w:hAnsiTheme="majorBidi" w:cstheme="majorBidi"/>
          <w:sz w:val="24"/>
          <w:szCs w:val="24"/>
        </w:rPr>
        <w:t xml:space="preserve"> </w:t>
      </w:r>
      <w:r w:rsidRPr="000C2965">
        <w:rPr>
          <w:rFonts w:asciiTheme="majorBidi" w:hAnsiTheme="majorBidi" w:cstheme="majorBidi"/>
          <w:sz w:val="24"/>
          <w:szCs w:val="24"/>
        </w:rPr>
        <w:t>BJH pore</w:t>
      </w:r>
      <w:r w:rsidRPr="00F00D04">
        <w:rPr>
          <w:rFonts w:asciiTheme="majorBidi" w:hAnsiTheme="majorBidi" w:cstheme="majorBidi"/>
          <w:sz w:val="24"/>
          <w:szCs w:val="24"/>
        </w:rPr>
        <w:t xml:space="preserve"> size distribution of PDB and DPS </w:t>
      </w:r>
      <w:proofErr w:type="spellStart"/>
      <w:r w:rsidRPr="00F00D04">
        <w:rPr>
          <w:rFonts w:asciiTheme="majorBidi" w:hAnsiTheme="majorBidi" w:cstheme="majorBidi"/>
          <w:sz w:val="24"/>
          <w:szCs w:val="24"/>
        </w:rPr>
        <w:t>biosorbents</w:t>
      </w:r>
      <w:proofErr w:type="spellEnd"/>
    </w:p>
    <w:p w:rsidR="000C2965" w:rsidRPr="00E57E26" w:rsidRDefault="000C2965" w:rsidP="000C2965">
      <w:pPr>
        <w:autoSpaceDE w:val="0"/>
        <w:autoSpaceDN w:val="0"/>
        <w:adjustRightInd w:val="0"/>
        <w:spacing w:after="0" w:line="360" w:lineRule="auto"/>
        <w:jc w:val="center"/>
        <w:rPr>
          <w:rFonts w:asciiTheme="majorBidi" w:hAnsiTheme="majorBidi" w:cstheme="majorBidi"/>
          <w:b/>
          <w:bCs/>
          <w:sz w:val="24"/>
          <w:szCs w:val="24"/>
        </w:rPr>
      </w:pPr>
    </w:p>
    <w:p w:rsidR="000C2965" w:rsidRPr="000C2965" w:rsidRDefault="000C2965" w:rsidP="000C2965">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DF5D1A" w:rsidRPr="00BD46D0" w:rsidRDefault="00DF5D1A" w:rsidP="00DF5D1A">
      <w:pPr>
        <w:spacing w:line="480" w:lineRule="auto"/>
        <w:jc w:val="both"/>
        <w:rPr>
          <w:rFonts w:asciiTheme="majorBidi" w:hAnsiTheme="majorBidi" w:cstheme="majorBidi"/>
          <w:b/>
          <w:bCs/>
          <w:sz w:val="24"/>
          <w:szCs w:val="24"/>
        </w:rPr>
      </w:pPr>
      <w:r w:rsidRPr="00BD46D0">
        <w:rPr>
          <w:rFonts w:asciiTheme="majorBidi" w:hAnsiTheme="majorBidi" w:cstheme="majorBidi"/>
          <w:b/>
          <w:bCs/>
          <w:sz w:val="24"/>
          <w:szCs w:val="24"/>
        </w:rPr>
        <w:t>Point of zero charge(</w:t>
      </w:r>
      <w:proofErr w:type="spellStart"/>
      <w:r w:rsidRPr="00BD46D0">
        <w:rPr>
          <w:rFonts w:asciiTheme="majorBidi" w:hAnsiTheme="majorBidi" w:cstheme="majorBidi"/>
          <w:b/>
          <w:bCs/>
          <w:sz w:val="24"/>
          <w:szCs w:val="24"/>
        </w:rPr>
        <w:t>pHpzc</w:t>
      </w:r>
      <w:proofErr w:type="spellEnd"/>
      <w:r w:rsidRPr="00BD46D0">
        <w:rPr>
          <w:rFonts w:asciiTheme="majorBidi" w:hAnsiTheme="majorBidi" w:cstheme="majorBidi"/>
          <w:b/>
          <w:bCs/>
          <w:sz w:val="24"/>
          <w:szCs w:val="24"/>
        </w:rPr>
        <w:t xml:space="preserve">) of </w:t>
      </w:r>
      <w:proofErr w:type="spellStart"/>
      <w:r w:rsidRPr="00BD46D0">
        <w:rPr>
          <w:rFonts w:asciiTheme="majorBidi" w:hAnsiTheme="majorBidi" w:cstheme="majorBidi"/>
          <w:b/>
          <w:bCs/>
          <w:sz w:val="24"/>
          <w:szCs w:val="24"/>
        </w:rPr>
        <w:t>biosorbents</w:t>
      </w:r>
      <w:proofErr w:type="spellEnd"/>
    </w:p>
    <w:p w:rsidR="009C7D2E" w:rsidRDefault="00DF5D1A" w:rsidP="005E539C">
      <w:pPr>
        <w:spacing w:after="0" w:line="480" w:lineRule="auto"/>
        <w:jc w:val="both"/>
        <w:rPr>
          <w:rFonts w:asciiTheme="majorBidi" w:hAnsiTheme="majorBidi" w:cstheme="majorBidi"/>
          <w:sz w:val="24"/>
          <w:szCs w:val="24"/>
        </w:rPr>
      </w:pPr>
      <w:bookmarkStart w:id="2" w:name="_Hlk154502200"/>
      <w:bookmarkEnd w:id="0"/>
      <w:r w:rsidRPr="00F00D04">
        <w:rPr>
          <w:rFonts w:asciiTheme="majorBidi" w:hAnsiTheme="majorBidi" w:cstheme="majorBidi"/>
          <w:sz w:val="24"/>
          <w:szCs w:val="24"/>
        </w:rPr>
        <w:t xml:space="preserve">The </w:t>
      </w:r>
      <w:proofErr w:type="spellStart"/>
      <w:r>
        <w:rPr>
          <w:rFonts w:asciiTheme="majorBidi" w:hAnsiTheme="majorBidi" w:cstheme="majorBidi"/>
          <w:sz w:val="24"/>
          <w:szCs w:val="24"/>
        </w:rPr>
        <w:t>pHpzc</w:t>
      </w:r>
      <w:proofErr w:type="spellEnd"/>
      <w:r w:rsidRPr="00F00D04">
        <w:rPr>
          <w:rFonts w:asciiTheme="majorBidi" w:hAnsiTheme="majorBidi" w:cstheme="majorBidi"/>
          <w:sz w:val="24"/>
          <w:szCs w:val="24"/>
        </w:rPr>
        <w:t xml:space="preserve"> refers to the pH value at which the quantity of negative charges present on the </w:t>
      </w:r>
      <w:proofErr w:type="spellStart"/>
      <w:r w:rsidRPr="00F00D04">
        <w:rPr>
          <w:rFonts w:asciiTheme="majorBidi" w:hAnsiTheme="majorBidi" w:cstheme="majorBidi"/>
          <w:sz w:val="24"/>
          <w:szCs w:val="24"/>
        </w:rPr>
        <w:t>biosorbent's</w:t>
      </w:r>
      <w:proofErr w:type="spellEnd"/>
      <w:r w:rsidRPr="00F00D04">
        <w:rPr>
          <w:rFonts w:asciiTheme="majorBidi" w:hAnsiTheme="majorBidi" w:cstheme="majorBidi"/>
          <w:sz w:val="24"/>
          <w:szCs w:val="24"/>
        </w:rPr>
        <w:t xml:space="preserve"> surface is equivalent to the number of positive charges. The </w:t>
      </w:r>
      <w:proofErr w:type="spellStart"/>
      <w:r w:rsidRPr="00F00D04">
        <w:rPr>
          <w:rFonts w:asciiTheme="majorBidi" w:hAnsiTheme="majorBidi" w:cstheme="majorBidi"/>
          <w:sz w:val="24"/>
          <w:szCs w:val="24"/>
        </w:rPr>
        <w:t>pHPZC</w:t>
      </w:r>
      <w:proofErr w:type="spellEnd"/>
      <w:r w:rsidRPr="00F00D04">
        <w:rPr>
          <w:rFonts w:asciiTheme="majorBidi" w:hAnsiTheme="majorBidi" w:cstheme="majorBidi"/>
          <w:sz w:val="24"/>
          <w:szCs w:val="24"/>
        </w:rPr>
        <w:t xml:space="preserve"> serves as a crucial parameter for determining the pH sensitivity range and facilitates the anticipation of surface activity and sorption abilities. The functional groups on the adsorbent might carry either a positive or negative charge contingent on the pH of the solution. When the pH surpasses the </w:t>
      </w:r>
      <w:proofErr w:type="spellStart"/>
      <w:r w:rsidRPr="00F00D04">
        <w:rPr>
          <w:rFonts w:asciiTheme="majorBidi" w:hAnsiTheme="majorBidi" w:cstheme="majorBidi"/>
          <w:sz w:val="24"/>
          <w:szCs w:val="24"/>
        </w:rPr>
        <w:lastRenderedPageBreak/>
        <w:t>pHpzc</w:t>
      </w:r>
      <w:proofErr w:type="spellEnd"/>
      <w:r w:rsidRPr="00F00D04">
        <w:rPr>
          <w:rFonts w:asciiTheme="majorBidi" w:hAnsiTheme="majorBidi" w:cstheme="majorBidi"/>
          <w:sz w:val="24"/>
          <w:szCs w:val="24"/>
        </w:rPr>
        <w:t xml:space="preserve">, these sites predominantly exist in a dissociated state, exhibiting a negative charge. Conversely, at pH levels lower than the </w:t>
      </w:r>
      <w:proofErr w:type="spellStart"/>
      <w:r w:rsidRPr="00F00D04">
        <w:rPr>
          <w:rFonts w:asciiTheme="majorBidi" w:hAnsiTheme="majorBidi" w:cstheme="majorBidi"/>
          <w:sz w:val="24"/>
          <w:szCs w:val="24"/>
        </w:rPr>
        <w:t>pHpzc</w:t>
      </w:r>
      <w:proofErr w:type="spellEnd"/>
      <w:r w:rsidRPr="00F00D04">
        <w:rPr>
          <w:rFonts w:asciiTheme="majorBidi" w:hAnsiTheme="majorBidi" w:cstheme="majorBidi"/>
          <w:sz w:val="24"/>
          <w:szCs w:val="24"/>
        </w:rPr>
        <w:t xml:space="preserve"> of these groups, the sites tend to be associated with a proton, resulting in a positive charge. In separate flasks, 25 mL portions of KNO</w:t>
      </w:r>
      <w:r w:rsidRPr="00F00D04">
        <w:rPr>
          <w:rFonts w:asciiTheme="majorBidi" w:hAnsiTheme="majorBidi" w:cstheme="majorBidi"/>
          <w:sz w:val="24"/>
          <w:szCs w:val="24"/>
          <w:vertAlign w:val="subscript"/>
        </w:rPr>
        <w:t>3</w:t>
      </w:r>
      <w:r w:rsidRPr="00F00D04">
        <w:rPr>
          <w:rFonts w:asciiTheme="majorBidi" w:hAnsiTheme="majorBidi" w:cstheme="majorBidi"/>
          <w:sz w:val="24"/>
          <w:szCs w:val="24"/>
        </w:rPr>
        <w:t xml:space="preserve"> (0.01 M) solution were added. The pH range was adjusted from 2 to 12 using either </w:t>
      </w:r>
      <w:proofErr w:type="spellStart"/>
      <w:r w:rsidRPr="00F00D04">
        <w:rPr>
          <w:rFonts w:asciiTheme="majorBidi" w:hAnsiTheme="majorBidi" w:cstheme="majorBidi"/>
          <w:sz w:val="24"/>
          <w:szCs w:val="24"/>
        </w:rPr>
        <w:t>HCl</w:t>
      </w:r>
      <w:proofErr w:type="spellEnd"/>
      <w:r w:rsidRPr="00F00D04">
        <w:rPr>
          <w:rFonts w:asciiTheme="majorBidi" w:hAnsiTheme="majorBidi" w:cstheme="majorBidi"/>
          <w:sz w:val="24"/>
          <w:szCs w:val="24"/>
        </w:rPr>
        <w:t xml:space="preserve"> or </w:t>
      </w:r>
      <w:proofErr w:type="spellStart"/>
      <w:r w:rsidRPr="00F00D04">
        <w:rPr>
          <w:rFonts w:asciiTheme="majorBidi" w:hAnsiTheme="majorBidi" w:cstheme="majorBidi"/>
          <w:sz w:val="24"/>
          <w:szCs w:val="24"/>
        </w:rPr>
        <w:t>NaOH</w:t>
      </w:r>
      <w:proofErr w:type="spellEnd"/>
      <w:r w:rsidRPr="00F00D04">
        <w:rPr>
          <w:rFonts w:asciiTheme="majorBidi" w:hAnsiTheme="majorBidi" w:cstheme="majorBidi"/>
          <w:sz w:val="24"/>
          <w:szCs w:val="24"/>
        </w:rPr>
        <w:t xml:space="preserve"> (0.1 M) solutions, and then 0.1 g of PDB and DPS were added to each flask. The solutions were transferred to an oscillation chamber and kept at room temperature, shaking for 48 hours to reach equilibrium. Following filtration of the dispersions, the resulting solutions pH was determined. Figure </w:t>
      </w:r>
      <w:r w:rsidR="009C7D2E">
        <w:rPr>
          <w:rFonts w:asciiTheme="majorBidi" w:hAnsiTheme="majorBidi" w:cstheme="majorBidi"/>
          <w:sz w:val="24"/>
          <w:szCs w:val="24"/>
        </w:rPr>
        <w:t>S-</w:t>
      </w:r>
      <w:r w:rsidR="005E539C">
        <w:rPr>
          <w:rFonts w:asciiTheme="majorBidi" w:hAnsiTheme="majorBidi" w:cstheme="majorBidi"/>
          <w:sz w:val="24"/>
          <w:szCs w:val="24"/>
        </w:rPr>
        <w:t>3</w:t>
      </w:r>
      <w:r w:rsidRPr="00F00D04">
        <w:rPr>
          <w:rFonts w:asciiTheme="majorBidi" w:hAnsiTheme="majorBidi" w:cstheme="majorBidi"/>
          <w:sz w:val="24"/>
          <w:szCs w:val="24"/>
        </w:rPr>
        <w:t xml:space="preserve"> depicts the graphical illustration of the </w:t>
      </w:r>
      <w:proofErr w:type="spellStart"/>
      <w:r w:rsidRPr="00F00D04">
        <w:rPr>
          <w:rFonts w:asciiTheme="majorBidi" w:hAnsiTheme="majorBidi" w:cstheme="majorBidi"/>
          <w:sz w:val="24"/>
          <w:szCs w:val="24"/>
        </w:rPr>
        <w:t>pHpzc</w:t>
      </w:r>
      <w:proofErr w:type="spellEnd"/>
      <w:r w:rsidRPr="00F00D04">
        <w:rPr>
          <w:rFonts w:asciiTheme="majorBidi" w:hAnsiTheme="majorBidi" w:cstheme="majorBidi"/>
          <w:sz w:val="24"/>
          <w:szCs w:val="24"/>
        </w:rPr>
        <w:t xml:space="preserve"> plot for the PDB and DPS </w:t>
      </w:r>
      <w:proofErr w:type="spellStart"/>
      <w:r w:rsidRPr="00F00D04">
        <w:rPr>
          <w:rFonts w:asciiTheme="majorBidi" w:hAnsiTheme="majorBidi" w:cstheme="majorBidi"/>
          <w:sz w:val="24"/>
          <w:szCs w:val="24"/>
        </w:rPr>
        <w:t>biosorbent</w:t>
      </w:r>
      <w:proofErr w:type="spellEnd"/>
      <w:r w:rsidRPr="00F00D04">
        <w:rPr>
          <w:rFonts w:asciiTheme="majorBidi" w:hAnsiTheme="majorBidi" w:cstheme="majorBidi"/>
          <w:sz w:val="24"/>
          <w:szCs w:val="24"/>
        </w:rPr>
        <w:t xml:space="preserve">. The </w:t>
      </w:r>
      <w:proofErr w:type="spellStart"/>
      <w:r w:rsidRPr="00F00D04">
        <w:rPr>
          <w:rFonts w:asciiTheme="majorBidi" w:hAnsiTheme="majorBidi" w:cstheme="majorBidi"/>
          <w:sz w:val="24"/>
          <w:szCs w:val="24"/>
        </w:rPr>
        <w:t>pHpzc</w:t>
      </w:r>
      <w:proofErr w:type="spellEnd"/>
      <w:r w:rsidRPr="00F00D04">
        <w:rPr>
          <w:rFonts w:asciiTheme="majorBidi" w:hAnsiTheme="majorBidi" w:cstheme="majorBidi"/>
          <w:sz w:val="24"/>
          <w:szCs w:val="24"/>
        </w:rPr>
        <w:t xml:space="preserve"> values of PDB and DPS were determined to be 4.7 and 5.0 respectively</w:t>
      </w:r>
      <w:bookmarkEnd w:id="2"/>
      <w:r w:rsidRPr="00F00D04">
        <w:rPr>
          <w:rFonts w:asciiTheme="majorBidi" w:hAnsiTheme="majorBidi" w:cstheme="majorBidi"/>
          <w:sz w:val="24"/>
          <w:szCs w:val="24"/>
        </w:rPr>
        <w:t>.</w:t>
      </w:r>
    </w:p>
    <w:p w:rsidR="005E539C" w:rsidRDefault="005E539C" w:rsidP="005E539C">
      <w:pPr>
        <w:spacing w:after="0" w:line="480" w:lineRule="auto"/>
        <w:jc w:val="both"/>
        <w:rPr>
          <w:rFonts w:asciiTheme="majorBidi" w:hAnsiTheme="majorBidi" w:cstheme="majorBidi"/>
          <w:sz w:val="24"/>
          <w:szCs w:val="24"/>
        </w:rPr>
      </w:pPr>
    </w:p>
    <w:p w:rsidR="009C7D2E" w:rsidRPr="00F00D04" w:rsidRDefault="009C7D2E" w:rsidP="009C7D2E">
      <w:pPr>
        <w:spacing w:line="480" w:lineRule="auto"/>
        <w:jc w:val="center"/>
        <w:rPr>
          <w:rFonts w:asciiTheme="majorBidi" w:hAnsiTheme="majorBidi" w:cstheme="majorBidi"/>
          <w:sz w:val="24"/>
          <w:szCs w:val="24"/>
          <w:shd w:val="clear" w:color="auto" w:fill="FFFFFF"/>
        </w:rPr>
      </w:pPr>
      <w:r w:rsidRPr="00F00D04">
        <w:rPr>
          <w:noProof/>
          <w:lang w:val="en-GB" w:eastAsia="en-GB"/>
        </w:rPr>
        <w:drawing>
          <wp:inline distT="0" distB="0" distL="0" distR="0" wp14:anchorId="223C1939" wp14:editId="76A0550E">
            <wp:extent cx="4588780" cy="3283527"/>
            <wp:effectExtent l="0" t="0" r="2540" b="0"/>
            <wp:docPr id="1726479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79108" name=""/>
                    <pic:cNvPicPr/>
                  </pic:nvPicPr>
                  <pic:blipFill rotWithShape="1">
                    <a:blip r:embed="rId6"/>
                    <a:srcRect l="8507" t="11343" r="13368" b="15608"/>
                    <a:stretch/>
                  </pic:blipFill>
                  <pic:spPr bwMode="auto">
                    <a:xfrm>
                      <a:off x="0" y="0"/>
                      <a:ext cx="4588780" cy="3283527"/>
                    </a:xfrm>
                    <a:prstGeom prst="rect">
                      <a:avLst/>
                    </a:prstGeom>
                    <a:ln>
                      <a:noFill/>
                    </a:ln>
                    <a:extLst>
                      <a:ext uri="{53640926-AAD7-44D8-BBD7-CCE9431645EC}">
                        <a14:shadowObscured xmlns:a14="http://schemas.microsoft.com/office/drawing/2010/main"/>
                      </a:ext>
                    </a:extLst>
                  </pic:spPr>
                </pic:pic>
              </a:graphicData>
            </a:graphic>
          </wp:inline>
        </w:drawing>
      </w:r>
    </w:p>
    <w:p w:rsidR="009C7D2E" w:rsidRPr="00F00D04" w:rsidRDefault="009C7D2E" w:rsidP="005E539C">
      <w:pPr>
        <w:spacing w:after="0" w:line="480" w:lineRule="auto"/>
        <w:jc w:val="center"/>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Figure S-</w:t>
      </w:r>
      <w:r w:rsidR="005E539C">
        <w:rPr>
          <w:rFonts w:asciiTheme="majorBidi" w:hAnsiTheme="majorBidi" w:cstheme="majorBidi"/>
          <w:sz w:val="24"/>
          <w:szCs w:val="24"/>
          <w:shd w:val="clear" w:color="auto" w:fill="FFFFFF"/>
        </w:rPr>
        <w:t>3</w:t>
      </w:r>
      <w:r w:rsidRPr="00F00D04">
        <w:rPr>
          <w:rFonts w:asciiTheme="majorBidi" w:hAnsiTheme="majorBidi" w:cstheme="majorBidi"/>
          <w:sz w:val="24"/>
          <w:szCs w:val="24"/>
          <w:shd w:val="clear" w:color="auto" w:fill="FFFFFF"/>
        </w:rPr>
        <w:t>. The pH at the point of zero charge (</w:t>
      </w:r>
      <w:proofErr w:type="spellStart"/>
      <w:r w:rsidRPr="00F00D04">
        <w:rPr>
          <w:rFonts w:asciiTheme="majorBidi" w:hAnsiTheme="majorBidi" w:cstheme="majorBidi"/>
          <w:sz w:val="24"/>
          <w:szCs w:val="24"/>
          <w:shd w:val="clear" w:color="auto" w:fill="FFFFFF"/>
        </w:rPr>
        <w:t>pHpzc</w:t>
      </w:r>
      <w:proofErr w:type="spellEnd"/>
      <w:r w:rsidRPr="00F00D04">
        <w:rPr>
          <w:rFonts w:asciiTheme="majorBidi" w:hAnsiTheme="majorBidi" w:cstheme="majorBidi"/>
          <w:sz w:val="24"/>
          <w:szCs w:val="24"/>
          <w:shd w:val="clear" w:color="auto" w:fill="FFFFFF"/>
        </w:rPr>
        <w:t>) for the PDB and DPS</w:t>
      </w:r>
    </w:p>
    <w:p w:rsidR="009C7D2E" w:rsidRPr="00F00D04" w:rsidRDefault="009C7D2E" w:rsidP="00DF5D1A">
      <w:pPr>
        <w:spacing w:after="0" w:line="480" w:lineRule="auto"/>
        <w:jc w:val="both"/>
        <w:rPr>
          <w:rFonts w:asciiTheme="majorBidi" w:hAnsiTheme="majorBidi" w:cstheme="majorBidi"/>
          <w:sz w:val="24"/>
          <w:szCs w:val="24"/>
        </w:rPr>
      </w:pPr>
    </w:p>
    <w:p w:rsidR="00974C30" w:rsidRPr="00F00D04" w:rsidRDefault="00974C30" w:rsidP="00974C30">
      <w:pPr>
        <w:pStyle w:val="Heading5"/>
        <w:shd w:val="clear" w:color="auto" w:fill="FFFFFF"/>
        <w:spacing w:before="0" w:line="480" w:lineRule="auto"/>
        <w:jc w:val="both"/>
        <w:rPr>
          <w:rFonts w:asciiTheme="majorBidi" w:hAnsiTheme="majorBidi"/>
          <w:b/>
          <w:bCs/>
          <w:color w:val="auto"/>
          <w:sz w:val="24"/>
          <w:szCs w:val="24"/>
        </w:rPr>
      </w:pPr>
      <w:bookmarkStart w:id="3" w:name="_Hlk154582394"/>
      <w:r w:rsidRPr="00F00D04">
        <w:rPr>
          <w:rFonts w:asciiTheme="majorBidi" w:hAnsiTheme="majorBidi"/>
          <w:b/>
          <w:bCs/>
          <w:color w:val="auto"/>
          <w:sz w:val="24"/>
          <w:szCs w:val="24"/>
        </w:rPr>
        <w:lastRenderedPageBreak/>
        <w:t>Uranium (VI) Concentration</w:t>
      </w:r>
      <w:r>
        <w:rPr>
          <w:rFonts w:asciiTheme="majorBidi" w:hAnsiTheme="majorBidi"/>
          <w:b/>
          <w:bCs/>
          <w:color w:val="auto"/>
          <w:sz w:val="24"/>
          <w:szCs w:val="24"/>
        </w:rPr>
        <w:t xml:space="preserve"> effectiveness</w:t>
      </w:r>
    </w:p>
    <w:p w:rsidR="00974C30" w:rsidRDefault="00974C30" w:rsidP="005E539C">
      <w:pPr>
        <w:autoSpaceDE w:val="0"/>
        <w:autoSpaceDN w:val="0"/>
        <w:adjustRightInd w:val="0"/>
        <w:spacing w:after="0" w:line="480" w:lineRule="auto"/>
        <w:jc w:val="both"/>
        <w:rPr>
          <w:rFonts w:asciiTheme="majorBidi" w:hAnsiTheme="majorBidi" w:cstheme="majorBidi"/>
          <w:sz w:val="24"/>
          <w:szCs w:val="24"/>
        </w:rPr>
      </w:pPr>
      <w:r w:rsidRPr="00F00D04">
        <w:rPr>
          <w:rFonts w:asciiTheme="majorBidi" w:hAnsiTheme="majorBidi" w:cstheme="majorBidi"/>
          <w:sz w:val="24"/>
          <w:szCs w:val="24"/>
        </w:rPr>
        <w:t xml:space="preserve">The impact of the initial U(VI) concentration on </w:t>
      </w:r>
      <w:proofErr w:type="spellStart"/>
      <w:r w:rsidRPr="00F00D04">
        <w:rPr>
          <w:rFonts w:asciiTheme="majorBidi" w:hAnsiTheme="majorBidi" w:cstheme="majorBidi"/>
          <w:sz w:val="24"/>
          <w:szCs w:val="24"/>
        </w:rPr>
        <w:t>biosorption</w:t>
      </w:r>
      <w:proofErr w:type="spellEnd"/>
      <w:r w:rsidRPr="00F00D04">
        <w:rPr>
          <w:rFonts w:asciiTheme="majorBidi" w:hAnsiTheme="majorBidi" w:cstheme="majorBidi"/>
          <w:sz w:val="24"/>
          <w:szCs w:val="24"/>
        </w:rPr>
        <w:t xml:space="preserve"> was investigated by exposing 0.5 g of </w:t>
      </w:r>
      <w:proofErr w:type="spellStart"/>
      <w:r w:rsidRPr="00F00D04">
        <w:rPr>
          <w:rFonts w:asciiTheme="majorBidi" w:hAnsiTheme="majorBidi" w:cstheme="majorBidi"/>
          <w:sz w:val="24"/>
          <w:szCs w:val="24"/>
        </w:rPr>
        <w:t>biosorbents</w:t>
      </w:r>
      <w:proofErr w:type="spellEnd"/>
      <w:r w:rsidRPr="00F00D04">
        <w:rPr>
          <w:rFonts w:asciiTheme="majorBidi" w:hAnsiTheme="majorBidi" w:cstheme="majorBidi"/>
          <w:sz w:val="24"/>
          <w:szCs w:val="24"/>
        </w:rPr>
        <w:t xml:space="preserve"> to uranium solutions (15 ml) for 2 hours, with concentrations ranging from 5 to 120 mg/L, while maintaining a pH of 6.0. The adsorption isotherm serves to elucidate the connection between the adsorption capacity of the adsorbent and the equilibrium concentration of the </w:t>
      </w:r>
      <w:proofErr w:type="spellStart"/>
      <w:r w:rsidRPr="00F00D04">
        <w:rPr>
          <w:rFonts w:asciiTheme="majorBidi" w:hAnsiTheme="majorBidi" w:cstheme="majorBidi"/>
          <w:sz w:val="24"/>
          <w:szCs w:val="24"/>
        </w:rPr>
        <w:t>adsorbate</w:t>
      </w:r>
      <w:proofErr w:type="spellEnd"/>
      <w:r w:rsidRPr="00F00D04">
        <w:rPr>
          <w:rFonts w:asciiTheme="majorBidi" w:hAnsiTheme="majorBidi" w:cstheme="majorBidi"/>
          <w:sz w:val="24"/>
          <w:szCs w:val="24"/>
        </w:rPr>
        <w:t xml:space="preserve"> species in a solid-liquid system. As depicted in figure </w:t>
      </w:r>
      <w:r w:rsidR="00AA0C18">
        <w:rPr>
          <w:rFonts w:asciiTheme="majorBidi" w:hAnsiTheme="majorBidi" w:cstheme="majorBidi"/>
          <w:sz w:val="24"/>
          <w:szCs w:val="24"/>
        </w:rPr>
        <w:t>S-</w:t>
      </w:r>
      <w:r w:rsidR="005E539C">
        <w:rPr>
          <w:rFonts w:asciiTheme="majorBidi" w:hAnsiTheme="majorBidi" w:cstheme="majorBidi"/>
          <w:sz w:val="24"/>
          <w:szCs w:val="24"/>
        </w:rPr>
        <w:t>4</w:t>
      </w:r>
      <w:r w:rsidRPr="00F00D04">
        <w:rPr>
          <w:rFonts w:asciiTheme="majorBidi" w:hAnsiTheme="majorBidi" w:cstheme="majorBidi"/>
          <w:sz w:val="24"/>
          <w:szCs w:val="24"/>
        </w:rPr>
        <w:t xml:space="preserve">, the percentage of U(VI) removal experiences a decrease, declining from 78.2 to 32.45 % for PDB and 70.4 to 30.62 % for DPS, as the initial uranium concentration rises from 5 mg/L to 120 mg/L. However, the adsorption capacity increases during this trend, going from 0.11 mg/g to 1.68 mg/g for PDB and 0.10 mg/g to 1.10 mg/g for DPS. This behavior can be attributed to the fact that at lower U(VI) concentrations, most U(VI) ions interact with the available active surface places of the </w:t>
      </w:r>
      <w:proofErr w:type="spellStart"/>
      <w:r w:rsidRPr="00F00D04">
        <w:rPr>
          <w:rFonts w:asciiTheme="majorBidi" w:hAnsiTheme="majorBidi" w:cstheme="majorBidi"/>
          <w:sz w:val="24"/>
          <w:szCs w:val="24"/>
        </w:rPr>
        <w:t>biosorbents</w:t>
      </w:r>
      <w:proofErr w:type="spellEnd"/>
      <w:r w:rsidRPr="00F00D04">
        <w:rPr>
          <w:rFonts w:asciiTheme="majorBidi" w:hAnsiTheme="majorBidi" w:cstheme="majorBidi"/>
          <w:sz w:val="24"/>
          <w:szCs w:val="24"/>
        </w:rPr>
        <w:t xml:space="preserve">, leading to higher U(VI) ion extraction. However, as the U(VI) concentration increases further, an excess of U(VI) ions in the solution results in a higher adsorption amount at these higher concentrations. Conversely, higher initial U(VI) concentrations resulted in reduced U(VI) </w:t>
      </w:r>
      <w:proofErr w:type="spellStart"/>
      <w:r w:rsidRPr="00F00D04">
        <w:rPr>
          <w:rFonts w:asciiTheme="majorBidi" w:hAnsiTheme="majorBidi" w:cstheme="majorBidi"/>
          <w:sz w:val="24"/>
          <w:szCs w:val="24"/>
        </w:rPr>
        <w:t>biosorption</w:t>
      </w:r>
      <w:proofErr w:type="spellEnd"/>
      <w:r w:rsidRPr="00F00D04">
        <w:rPr>
          <w:rFonts w:asciiTheme="majorBidi" w:hAnsiTheme="majorBidi" w:cstheme="majorBidi"/>
          <w:sz w:val="24"/>
          <w:szCs w:val="24"/>
        </w:rPr>
        <w:t xml:space="preserve"> efficiency on </w:t>
      </w:r>
      <w:proofErr w:type="spellStart"/>
      <w:r w:rsidRPr="00F00D04">
        <w:rPr>
          <w:rFonts w:asciiTheme="majorBidi" w:hAnsiTheme="majorBidi" w:cstheme="majorBidi"/>
          <w:sz w:val="24"/>
          <w:szCs w:val="24"/>
        </w:rPr>
        <w:t>biosorbents</w:t>
      </w:r>
      <w:proofErr w:type="spellEnd"/>
      <w:r w:rsidRPr="00F00D04">
        <w:rPr>
          <w:rFonts w:asciiTheme="majorBidi" w:hAnsiTheme="majorBidi" w:cstheme="majorBidi"/>
          <w:sz w:val="24"/>
          <w:szCs w:val="24"/>
        </w:rPr>
        <w:t xml:space="preserve">. The reduction in uranium </w:t>
      </w:r>
      <w:proofErr w:type="spellStart"/>
      <w:r w:rsidRPr="00F00D04">
        <w:rPr>
          <w:rFonts w:asciiTheme="majorBidi" w:hAnsiTheme="majorBidi" w:cstheme="majorBidi"/>
          <w:sz w:val="24"/>
          <w:szCs w:val="24"/>
        </w:rPr>
        <w:t>biosorption</w:t>
      </w:r>
      <w:proofErr w:type="spellEnd"/>
      <w:r w:rsidRPr="00F00D04">
        <w:rPr>
          <w:rFonts w:asciiTheme="majorBidi" w:hAnsiTheme="majorBidi" w:cstheme="majorBidi"/>
          <w:sz w:val="24"/>
          <w:szCs w:val="24"/>
        </w:rPr>
        <w:t xml:space="preserve"> capacity can be attributed to a decrease in the number of active sites available on the </w:t>
      </w:r>
      <w:proofErr w:type="spellStart"/>
      <w:r w:rsidRPr="00F00D04">
        <w:rPr>
          <w:rFonts w:asciiTheme="majorBidi" w:hAnsiTheme="majorBidi" w:cstheme="majorBidi"/>
          <w:sz w:val="24"/>
          <w:szCs w:val="24"/>
        </w:rPr>
        <w:t>biosorbent</w:t>
      </w:r>
      <w:proofErr w:type="spellEnd"/>
      <w:r w:rsidRPr="00F00D04">
        <w:rPr>
          <w:rFonts w:asciiTheme="majorBidi" w:hAnsiTheme="majorBidi" w:cstheme="majorBidi"/>
          <w:sz w:val="24"/>
          <w:szCs w:val="24"/>
        </w:rPr>
        <w:t xml:space="preserve">. This decline occurs because U(VI) ions have a greater affinity to attach with the active locations, which is a consequence of the increased initial uranium concentration </w:t>
      </w:r>
      <w:r w:rsidRPr="00F00D04">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&lt;EndNote&gt;&lt;Cite&gt;&lt;Author&gt;Haggag&lt;/Author&gt;&lt;Year&gt;2020&lt;/Year&gt;&lt;RecNum&gt;1053&lt;/RecNum&gt;&lt;DisplayText&gt;(Xiao-teng, Dong-mei et al. 2019, Haggag, Abdelsamad et al. 2020)&lt;/DisplayText&gt;&lt;record&gt;&lt;rec-number&gt;1053&lt;/rec-number&gt;&lt;foreign-keys&gt;&lt;key app="EN" db-id="rv95xtp5bsxf2ketsep52xwtpar5z2wpaxxa" timestamp="1705223079"&gt;1053&lt;/key&gt;&lt;/foreign-keys&gt;&lt;ref-type name="Journal Article"&gt;17&lt;/ref-type&gt;&lt;contributors&gt;&lt;authors&gt;&lt;author&gt;Haggag, El Sayed A&lt;/author&gt;&lt;author&gt;Abdelsamad, Ahmed A&lt;/author&gt;&lt;author&gt;Masoud, Ahmed M&lt;/author&gt;&lt;/authors&gt;&lt;/contributors&gt;&lt;titles&gt;&lt;title&gt;Potentiality of uranium extraction from acidic leach liquor by polyacrylamide-acrylic acid titanium silicate composite adsorbent&lt;/title&gt;&lt;secondary-title&gt;International Journal of Environmental Analytical Chemistry&lt;/secondary-title&gt;&lt;/titles&gt;&lt;periodical&gt;&lt;full-title&gt;International Journal of Environmental Analytical Chemistry&lt;/full-title&gt;&lt;/periodical&gt;&lt;pages&gt;204-224&lt;/pages&gt;&lt;volume&gt;100&lt;/volume&gt;&lt;number&gt;2&lt;/number&gt;&lt;dates&gt;&lt;year&gt;2020&lt;/year&gt;&lt;/dates&gt;&lt;isbn&gt;0306-7319&lt;/isbn&gt;&lt;urls&gt;&lt;/urls&gt;&lt;/record&gt;&lt;/Cite&gt;&lt;Cite&gt;&lt;Author&gt;Xiao-teng&lt;/Author&gt;&lt;Year&gt;2019&lt;/Year&gt;&lt;RecNum&gt;1054&lt;/RecNum&gt;&lt;record&gt;&lt;rec-number&gt;1054&lt;/rec-number&gt;&lt;foreign-keys&gt;&lt;key app="EN" db-id="rv95xtp5bsxf2ketsep52xwtpar5z2wpaxxa" timestamp="1705223227"&gt;1054&lt;/key&gt;&lt;/foreign-keys&gt;&lt;ref-type name="Journal Article"&gt;17&lt;/ref-type&gt;&lt;contributors&gt;&lt;authors&gt;&lt;author&gt;Xiao-teng, Zhang&lt;/author&gt;&lt;author&gt;Dong-mei, Jiang&lt;/author&gt;&lt;author&gt;Yi-qun, Xiao&lt;/author&gt;&lt;author&gt;Jun-chang, Chen&lt;/author&gt;&lt;author&gt;Shuai, Hao&lt;/author&gt;&lt;author&gt;Liang-shu, Xia&lt;/author&gt;&lt;/authors&gt;&lt;/contributors&gt;&lt;titles&gt;&lt;title&gt;Adsorption of uranium (VI) from aqueous solution by modified rice stem&lt;/title&gt;&lt;secondary-title&gt;Journal of Chemistry&lt;/secondary-title&gt;&lt;/titles&gt;&lt;periodical&gt;&lt;full-title&gt;Journal of Chemistry&lt;/full-title&gt;&lt;/periodical&gt;&lt;volume&gt;2019&lt;/volume&gt;&lt;dates&gt;&lt;year&gt;2019&lt;/year&gt;&lt;/dates&gt;&lt;isbn&gt;2090-9063&lt;/isbn&gt;&lt;urls&gt;&lt;/urls&gt;&lt;/record&gt;&lt;/Cite&gt;&lt;/EndNote&gt;</w:instrText>
      </w:r>
      <w:r w:rsidRPr="00F00D04">
        <w:rPr>
          <w:rFonts w:asciiTheme="majorBidi" w:hAnsiTheme="majorBidi" w:cstheme="majorBidi"/>
          <w:sz w:val="24"/>
          <w:szCs w:val="24"/>
        </w:rPr>
        <w:fldChar w:fldCharType="separate"/>
      </w:r>
      <w:r>
        <w:rPr>
          <w:rFonts w:asciiTheme="majorBidi" w:hAnsiTheme="majorBidi" w:cstheme="majorBidi"/>
          <w:noProof/>
          <w:sz w:val="24"/>
          <w:szCs w:val="24"/>
        </w:rPr>
        <w:t>(Xiao-teng, Dong-mei et al. 2019, Haggag, Abdelsamad et al. 2020)</w:t>
      </w:r>
      <w:r w:rsidRPr="00F00D04">
        <w:rPr>
          <w:rFonts w:asciiTheme="majorBidi" w:hAnsiTheme="majorBidi" w:cstheme="majorBidi"/>
          <w:sz w:val="24"/>
          <w:szCs w:val="24"/>
        </w:rPr>
        <w:fldChar w:fldCharType="end"/>
      </w:r>
      <w:r w:rsidRPr="00F00D04">
        <w:rPr>
          <w:rFonts w:asciiTheme="majorBidi" w:hAnsiTheme="majorBidi" w:cstheme="majorBidi"/>
          <w:sz w:val="24"/>
          <w:szCs w:val="24"/>
        </w:rPr>
        <w:t>.</w:t>
      </w:r>
      <w:bookmarkStart w:id="4" w:name="_Hlk154582501"/>
      <w:bookmarkEnd w:id="3"/>
    </w:p>
    <w:p w:rsidR="00CE67D6" w:rsidRDefault="00CE67D6" w:rsidP="00CE67D6">
      <w:pPr>
        <w:autoSpaceDE w:val="0"/>
        <w:autoSpaceDN w:val="0"/>
        <w:adjustRightInd w:val="0"/>
        <w:spacing w:after="0" w:line="480" w:lineRule="auto"/>
        <w:jc w:val="center"/>
        <w:rPr>
          <w:rFonts w:asciiTheme="majorBidi" w:hAnsiTheme="majorBidi" w:cstheme="majorBidi"/>
          <w:sz w:val="24"/>
          <w:szCs w:val="24"/>
        </w:rPr>
      </w:pPr>
    </w:p>
    <w:p w:rsidR="00CE67D6" w:rsidRPr="00F00D04" w:rsidRDefault="00CE67D6" w:rsidP="00CE67D6">
      <w:pPr>
        <w:autoSpaceDE w:val="0"/>
        <w:autoSpaceDN w:val="0"/>
        <w:adjustRightInd w:val="0"/>
        <w:spacing w:after="0" w:line="360" w:lineRule="auto"/>
        <w:jc w:val="center"/>
        <w:rPr>
          <w:rFonts w:asciiTheme="majorBidi" w:hAnsiTheme="majorBidi" w:cstheme="majorBidi"/>
          <w:sz w:val="24"/>
          <w:szCs w:val="24"/>
        </w:rPr>
      </w:pPr>
      <w:r w:rsidRPr="00F00D04">
        <w:rPr>
          <w:noProof/>
          <w:lang w:val="en-GB" w:eastAsia="en-GB"/>
        </w:rPr>
        <w:lastRenderedPageBreak/>
        <w:drawing>
          <wp:inline distT="0" distB="0" distL="0" distR="0" wp14:anchorId="516B5455" wp14:editId="1D8F2E80">
            <wp:extent cx="4848225" cy="3552825"/>
            <wp:effectExtent l="0" t="0" r="9525" b="9525"/>
            <wp:docPr id="1477067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67682" name=""/>
                    <pic:cNvPicPr/>
                  </pic:nvPicPr>
                  <pic:blipFill rotWithShape="1">
                    <a:blip r:embed="rId7"/>
                    <a:srcRect l="8507" t="10889" r="3125" b="4492"/>
                    <a:stretch/>
                  </pic:blipFill>
                  <pic:spPr bwMode="auto">
                    <a:xfrm>
                      <a:off x="0" y="0"/>
                      <a:ext cx="4848225" cy="3552825"/>
                    </a:xfrm>
                    <a:prstGeom prst="rect">
                      <a:avLst/>
                    </a:prstGeom>
                    <a:ln>
                      <a:noFill/>
                    </a:ln>
                    <a:extLst>
                      <a:ext uri="{53640926-AAD7-44D8-BBD7-CCE9431645EC}">
                        <a14:shadowObscured xmlns:a14="http://schemas.microsoft.com/office/drawing/2010/main"/>
                      </a:ext>
                    </a:extLst>
                  </pic:spPr>
                </pic:pic>
              </a:graphicData>
            </a:graphic>
          </wp:inline>
        </w:drawing>
      </w:r>
    </w:p>
    <w:p w:rsidR="00CE67D6" w:rsidRPr="00F00D04" w:rsidRDefault="00CE67D6" w:rsidP="00CE67D6">
      <w:pPr>
        <w:autoSpaceDE w:val="0"/>
        <w:autoSpaceDN w:val="0"/>
        <w:adjustRightInd w:val="0"/>
        <w:spacing w:after="0" w:line="360" w:lineRule="auto"/>
        <w:jc w:val="both"/>
        <w:rPr>
          <w:rFonts w:asciiTheme="majorBidi" w:hAnsiTheme="majorBidi" w:cstheme="majorBidi"/>
          <w:sz w:val="24"/>
          <w:szCs w:val="24"/>
        </w:rPr>
      </w:pPr>
    </w:p>
    <w:p w:rsidR="00CE67D6" w:rsidRDefault="00CE67D6" w:rsidP="005E539C">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sz w:val="24"/>
          <w:szCs w:val="24"/>
        </w:rPr>
        <w:t xml:space="preserve">Figure </w:t>
      </w:r>
      <w:r w:rsidR="00AA0C18">
        <w:rPr>
          <w:rFonts w:asciiTheme="majorBidi" w:hAnsiTheme="majorBidi" w:cstheme="majorBidi"/>
          <w:sz w:val="24"/>
          <w:szCs w:val="24"/>
        </w:rPr>
        <w:t>S-</w:t>
      </w:r>
      <w:r w:rsidR="005E539C">
        <w:rPr>
          <w:rFonts w:asciiTheme="majorBidi" w:hAnsiTheme="majorBidi" w:cstheme="majorBidi"/>
          <w:sz w:val="24"/>
          <w:szCs w:val="24"/>
        </w:rPr>
        <w:t>4</w:t>
      </w:r>
      <w:r w:rsidRPr="00F00D04">
        <w:rPr>
          <w:rFonts w:asciiTheme="majorBidi" w:hAnsiTheme="majorBidi" w:cstheme="majorBidi"/>
          <w:sz w:val="24"/>
          <w:szCs w:val="24"/>
        </w:rPr>
        <w:t xml:space="preserve">. Effect of different U(VI) concentrations of on the adsorption of U(VI) on </w:t>
      </w:r>
      <w:proofErr w:type="spellStart"/>
      <w:r w:rsidRPr="00F00D04">
        <w:rPr>
          <w:rFonts w:asciiTheme="majorBidi" w:hAnsiTheme="majorBidi" w:cstheme="majorBidi"/>
          <w:sz w:val="24"/>
          <w:szCs w:val="24"/>
        </w:rPr>
        <w:t>biosorbents</w:t>
      </w:r>
      <w:proofErr w:type="spellEnd"/>
      <w:r w:rsidRPr="00F00D04">
        <w:rPr>
          <w:rFonts w:asciiTheme="majorBidi" w:hAnsiTheme="majorBidi" w:cstheme="majorBidi"/>
          <w:sz w:val="24"/>
          <w:szCs w:val="24"/>
        </w:rPr>
        <w:t xml:space="preserve"> (PDB and DPS)</w:t>
      </w:r>
    </w:p>
    <w:bookmarkEnd w:id="4"/>
    <w:p w:rsidR="00974C30" w:rsidRDefault="00974C30"/>
    <w:p w:rsidR="007E2A14" w:rsidRDefault="007E2A14">
      <w:bookmarkStart w:id="5" w:name="_GoBack"/>
      <w:bookmarkEnd w:id="5"/>
    </w:p>
    <w:p w:rsidR="00974C30" w:rsidRPr="0032543F" w:rsidRDefault="0032543F">
      <w:pPr>
        <w:rPr>
          <w:rFonts w:asciiTheme="majorBidi" w:hAnsiTheme="majorBidi" w:cstheme="majorBidi"/>
          <w:b/>
          <w:bCs/>
          <w:sz w:val="24"/>
          <w:szCs w:val="24"/>
        </w:rPr>
      </w:pPr>
      <w:r w:rsidRPr="0032543F">
        <w:rPr>
          <w:rFonts w:asciiTheme="majorBidi" w:hAnsiTheme="majorBidi" w:cstheme="majorBidi"/>
          <w:b/>
          <w:bCs/>
          <w:sz w:val="24"/>
          <w:szCs w:val="24"/>
        </w:rPr>
        <w:t>References</w:t>
      </w:r>
    </w:p>
    <w:p w:rsidR="0032543F" w:rsidRDefault="0032543F"/>
    <w:p w:rsidR="00974C30" w:rsidRPr="00974C30" w:rsidRDefault="00974C30" w:rsidP="00974C30">
      <w:pPr>
        <w:pStyle w:val="EndNoteBibliography"/>
        <w:spacing w:after="0" w:line="360" w:lineRule="auto"/>
        <w:rPr>
          <w:rFonts w:asciiTheme="majorBidi" w:hAnsiTheme="majorBidi" w:cstheme="majorBidi"/>
        </w:rPr>
      </w:pPr>
      <w:r w:rsidRPr="00974C30">
        <w:rPr>
          <w:rFonts w:asciiTheme="majorBidi" w:hAnsiTheme="majorBidi" w:cstheme="majorBidi"/>
        </w:rPr>
        <w:fldChar w:fldCharType="begin"/>
      </w:r>
      <w:r w:rsidRPr="00974C30">
        <w:rPr>
          <w:rFonts w:asciiTheme="majorBidi" w:hAnsiTheme="majorBidi" w:cstheme="majorBidi"/>
        </w:rPr>
        <w:instrText xml:space="preserve"> ADDIN EN.REFLIST </w:instrText>
      </w:r>
      <w:r w:rsidRPr="00974C30">
        <w:rPr>
          <w:rFonts w:asciiTheme="majorBidi" w:hAnsiTheme="majorBidi" w:cstheme="majorBidi"/>
        </w:rPr>
        <w:fldChar w:fldCharType="separate"/>
      </w:r>
      <w:r w:rsidRPr="00974C30">
        <w:rPr>
          <w:rFonts w:asciiTheme="majorBidi" w:hAnsiTheme="majorBidi" w:cstheme="majorBidi"/>
        </w:rPr>
        <w:t xml:space="preserve">Haggag, E. S. A., A. A. Abdelsamad and A. M. Masoud (2020). "Potentiality of uranium extraction from acidic leach liquor by polyacrylamide-acrylic acid titanium silicate composite adsorbent." </w:t>
      </w:r>
      <w:r w:rsidRPr="00974C30">
        <w:rPr>
          <w:rFonts w:asciiTheme="majorBidi" w:hAnsiTheme="majorBidi" w:cstheme="majorBidi"/>
          <w:u w:val="single"/>
        </w:rPr>
        <w:t>International Journal of Environmental Analytical Chemistry</w:t>
      </w:r>
      <w:r w:rsidRPr="00974C30">
        <w:rPr>
          <w:rFonts w:asciiTheme="majorBidi" w:hAnsiTheme="majorBidi" w:cstheme="majorBidi"/>
        </w:rPr>
        <w:t xml:space="preserve"> </w:t>
      </w:r>
      <w:r w:rsidRPr="00974C30">
        <w:rPr>
          <w:rFonts w:asciiTheme="majorBidi" w:hAnsiTheme="majorBidi" w:cstheme="majorBidi"/>
          <w:b/>
        </w:rPr>
        <w:t>100</w:t>
      </w:r>
      <w:r w:rsidRPr="00974C30">
        <w:rPr>
          <w:rFonts w:asciiTheme="majorBidi" w:hAnsiTheme="majorBidi" w:cstheme="majorBidi"/>
        </w:rPr>
        <w:t>(2): 204-224.</w:t>
      </w:r>
    </w:p>
    <w:p w:rsidR="00974C30" w:rsidRPr="00974C30" w:rsidRDefault="00974C30" w:rsidP="00974C30">
      <w:pPr>
        <w:pStyle w:val="EndNoteBibliography"/>
        <w:spacing w:line="360" w:lineRule="auto"/>
        <w:rPr>
          <w:rFonts w:asciiTheme="majorBidi" w:hAnsiTheme="majorBidi" w:cstheme="majorBidi"/>
        </w:rPr>
      </w:pPr>
      <w:r w:rsidRPr="00974C30">
        <w:rPr>
          <w:rFonts w:asciiTheme="majorBidi" w:hAnsiTheme="majorBidi" w:cstheme="majorBidi"/>
        </w:rPr>
        <w:t xml:space="preserve">Xiao-teng, Z., J. Dong-mei, X. Yi-qun, C. Jun-chang, H. Shuai and X. Liang-shu (2019). "Adsorption of uranium (VI) from aqueous solution by modified rice stem." </w:t>
      </w:r>
      <w:r w:rsidRPr="00974C30">
        <w:rPr>
          <w:rFonts w:asciiTheme="majorBidi" w:hAnsiTheme="majorBidi" w:cstheme="majorBidi"/>
          <w:u w:val="single"/>
        </w:rPr>
        <w:t>Journal of Chemistry</w:t>
      </w:r>
      <w:r w:rsidRPr="00974C30">
        <w:rPr>
          <w:rFonts w:asciiTheme="majorBidi" w:hAnsiTheme="majorBidi" w:cstheme="majorBidi"/>
        </w:rPr>
        <w:t xml:space="preserve"> </w:t>
      </w:r>
      <w:r w:rsidRPr="00974C30">
        <w:rPr>
          <w:rFonts w:asciiTheme="majorBidi" w:hAnsiTheme="majorBidi" w:cstheme="majorBidi"/>
          <w:b/>
        </w:rPr>
        <w:t>2019</w:t>
      </w:r>
      <w:r w:rsidRPr="00974C30">
        <w:rPr>
          <w:rFonts w:asciiTheme="majorBidi" w:hAnsiTheme="majorBidi" w:cstheme="majorBidi"/>
        </w:rPr>
        <w:t>.</w:t>
      </w:r>
    </w:p>
    <w:p w:rsidR="002A6ED1" w:rsidRDefault="00974C30" w:rsidP="00974C30">
      <w:pPr>
        <w:spacing w:line="360" w:lineRule="auto"/>
      </w:pPr>
      <w:r w:rsidRPr="00974C30">
        <w:rPr>
          <w:rFonts w:asciiTheme="majorBidi" w:hAnsiTheme="majorBidi" w:cstheme="majorBidi"/>
        </w:rPr>
        <w:fldChar w:fldCharType="end"/>
      </w:r>
    </w:p>
    <w:sectPr w:rsidR="002A6E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IXGeneral-Regular">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95xtp5bsxf2ketsep52xwtpar5z2wpaxxa&quot;&gt;My EndNote Library&lt;record-ids&gt;&lt;item&gt;1053&lt;/item&gt;&lt;item&gt;1054&lt;/item&gt;&lt;/record-ids&gt;&lt;/item&gt;&lt;/Libraries&gt;"/>
  </w:docVars>
  <w:rsids>
    <w:rsidRoot w:val="00E430A2"/>
    <w:rsid w:val="000375ED"/>
    <w:rsid w:val="000B2CDD"/>
    <w:rsid w:val="000C2965"/>
    <w:rsid w:val="00133BBD"/>
    <w:rsid w:val="00203D3E"/>
    <w:rsid w:val="0032543F"/>
    <w:rsid w:val="003E3440"/>
    <w:rsid w:val="005D7B45"/>
    <w:rsid w:val="005E539C"/>
    <w:rsid w:val="00673F99"/>
    <w:rsid w:val="007C6765"/>
    <w:rsid w:val="007E2A14"/>
    <w:rsid w:val="00974C30"/>
    <w:rsid w:val="009C7D2E"/>
    <w:rsid w:val="00AA0C18"/>
    <w:rsid w:val="00CB0BBA"/>
    <w:rsid w:val="00CE67D6"/>
    <w:rsid w:val="00DF5D1A"/>
    <w:rsid w:val="00E430A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832DA"/>
  <w15:chartTrackingRefBased/>
  <w15:docId w15:val="{A6D7CC49-1A95-41FA-B33F-BB7FC2529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D1A"/>
    <w:rPr>
      <w:lang w:val="en-US"/>
    </w:rPr>
  </w:style>
  <w:style w:type="paragraph" w:styleId="Heading5">
    <w:name w:val="heading 5"/>
    <w:basedOn w:val="Normal"/>
    <w:next w:val="Normal"/>
    <w:link w:val="Heading5Char"/>
    <w:uiPriority w:val="9"/>
    <w:unhideWhenUsed/>
    <w:qFormat/>
    <w:rsid w:val="00974C3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974C30"/>
    <w:rPr>
      <w:rFonts w:asciiTheme="majorHAnsi" w:eastAsiaTheme="majorEastAsia" w:hAnsiTheme="majorHAnsi" w:cstheme="majorBidi"/>
      <w:color w:val="2E74B5" w:themeColor="accent1" w:themeShade="BF"/>
      <w:lang w:val="en-US"/>
    </w:rPr>
  </w:style>
  <w:style w:type="paragraph" w:customStyle="1" w:styleId="EndNoteBibliographyTitle">
    <w:name w:val="EndNote Bibliography Title"/>
    <w:basedOn w:val="Normal"/>
    <w:link w:val="EndNoteBibliographyTitleChar"/>
    <w:rsid w:val="00974C3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74C30"/>
    <w:rPr>
      <w:rFonts w:ascii="Calibri" w:hAnsi="Calibri" w:cs="Calibri"/>
      <w:noProof/>
      <w:lang w:val="en-US"/>
    </w:rPr>
  </w:style>
  <w:style w:type="paragraph" w:customStyle="1" w:styleId="EndNoteBibliography">
    <w:name w:val="EndNote Bibliography"/>
    <w:basedOn w:val="Normal"/>
    <w:link w:val="EndNoteBibliographyChar"/>
    <w:rsid w:val="00974C30"/>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74C30"/>
    <w:rPr>
      <w:rFonts w:ascii="Calibri" w:hAnsi="Calibri" w:cs="Calibri"/>
      <w:noProof/>
      <w:lang w:val="en-US"/>
    </w:rPr>
  </w:style>
  <w:style w:type="paragraph" w:styleId="NormalWeb">
    <w:name w:val="Normal (Web)"/>
    <w:basedOn w:val="Normal"/>
    <w:uiPriority w:val="99"/>
    <w:unhideWhenUsed/>
    <w:rsid w:val="000375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1086</Words>
  <Characters>6193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Rawaiz Khan</dc:creator>
  <cp:keywords/>
  <dc:description/>
  <cp:lastModifiedBy>Rawaiz Khan</cp:lastModifiedBy>
  <cp:revision>13</cp:revision>
  <dcterms:created xsi:type="dcterms:W3CDTF">2024-05-20T06:17:00Z</dcterms:created>
  <dcterms:modified xsi:type="dcterms:W3CDTF">2024-05-20T09:54:00Z</dcterms:modified>
</cp:coreProperties>
</file>