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225C" w14:textId="3328261C" w:rsidR="002C60C4" w:rsidRDefault="00BB672C">
      <w:pPr>
        <w:rPr>
          <w:lang w:val="en-US"/>
        </w:rPr>
      </w:pPr>
      <w:r w:rsidRPr="00B8202D">
        <w:rPr>
          <w:b/>
          <w:bCs/>
          <w:lang w:val="en-US"/>
        </w:rPr>
        <w:t>Supplementary Table S1</w:t>
      </w:r>
      <w:r w:rsidR="002C60C4" w:rsidRPr="00B8202D">
        <w:rPr>
          <w:b/>
          <w:bCs/>
          <w:lang w:val="en-US"/>
        </w:rPr>
        <w:t>:</w:t>
      </w:r>
      <w:r w:rsidR="002C60C4" w:rsidRPr="00B8202D">
        <w:rPr>
          <w:rFonts w:cs="Times New Roman"/>
          <w:b/>
          <w:bCs/>
          <w:sz w:val="24"/>
        </w:rPr>
        <w:t xml:space="preserve"> </w:t>
      </w:r>
      <w:r w:rsidR="00072079">
        <w:rPr>
          <w:rFonts w:cs="Times New Roman"/>
          <w:b/>
          <w:bCs/>
          <w:szCs w:val="22"/>
        </w:rPr>
        <w:t>Detailed Methodologies.</w:t>
      </w:r>
    </w:p>
    <w:tbl>
      <w:tblPr>
        <w:tblStyle w:val="PlainTable2"/>
        <w:tblW w:w="0" w:type="auto"/>
        <w:shd w:val="clear" w:color="auto" w:fill="FFFFFF" w:themeFill="background1"/>
        <w:tblLook w:val="04A0" w:firstRow="1" w:lastRow="0" w:firstColumn="1" w:lastColumn="0" w:noHBand="0" w:noVBand="1"/>
      </w:tblPr>
      <w:tblGrid>
        <w:gridCol w:w="4248"/>
        <w:gridCol w:w="8702"/>
      </w:tblGrid>
      <w:tr w:rsidR="002C60C4" w14:paraId="796AEB86" w14:textId="77777777" w:rsidTr="0085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000000"/>
              <w:bottom w:val="single" w:sz="4" w:space="0" w:color="000000"/>
            </w:tcBorders>
            <w:shd w:val="clear" w:color="auto" w:fill="FFFFFF" w:themeFill="background1"/>
          </w:tcPr>
          <w:p w14:paraId="3710E330" w14:textId="77777777" w:rsidR="002C60C4" w:rsidRPr="004253A7" w:rsidRDefault="002C60C4" w:rsidP="00455333">
            <w:pPr>
              <w:jc w:val="both"/>
              <w:rPr>
                <w:b w:val="0"/>
                <w:bCs w:val="0"/>
                <w:lang w:val="en-US"/>
              </w:rPr>
            </w:pPr>
            <w:r w:rsidRPr="004253A7">
              <w:rPr>
                <w:lang w:val="en-US"/>
              </w:rPr>
              <w:t>Methods</w:t>
            </w:r>
          </w:p>
        </w:tc>
        <w:tc>
          <w:tcPr>
            <w:tcW w:w="8702" w:type="dxa"/>
            <w:tcBorders>
              <w:top w:val="single" w:sz="4" w:space="0" w:color="000000"/>
              <w:bottom w:val="single" w:sz="4" w:space="0" w:color="000000"/>
            </w:tcBorders>
            <w:shd w:val="clear" w:color="auto" w:fill="FFFFFF" w:themeFill="background1"/>
          </w:tcPr>
          <w:p w14:paraId="1DE87205" w14:textId="77777777" w:rsidR="002C60C4" w:rsidRPr="004253A7" w:rsidRDefault="002C60C4">
            <w:pPr>
              <w:cnfStyle w:val="100000000000" w:firstRow="1" w:lastRow="0" w:firstColumn="0" w:lastColumn="0" w:oddVBand="0" w:evenVBand="0" w:oddHBand="0" w:evenHBand="0" w:firstRowFirstColumn="0" w:firstRowLastColumn="0" w:lastRowFirstColumn="0" w:lastRowLastColumn="0"/>
              <w:rPr>
                <w:b w:val="0"/>
                <w:bCs w:val="0"/>
                <w:lang w:val="en-US"/>
              </w:rPr>
            </w:pPr>
            <w:r w:rsidRPr="004253A7">
              <w:rPr>
                <w:lang w:val="en-US"/>
              </w:rPr>
              <w:t>Descriptions</w:t>
            </w:r>
          </w:p>
        </w:tc>
      </w:tr>
      <w:tr w:rsidR="002C60C4" w14:paraId="01DBFE31" w14:textId="77777777" w:rsidTr="008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000000"/>
            </w:tcBorders>
            <w:shd w:val="clear" w:color="auto" w:fill="FFFFFF" w:themeFill="background1"/>
          </w:tcPr>
          <w:p w14:paraId="15DA7F59" w14:textId="77777777" w:rsidR="002C60C4" w:rsidRDefault="00D5296E" w:rsidP="00A16F72">
            <w:pPr>
              <w:rPr>
                <w:lang w:val="en-US"/>
              </w:rPr>
            </w:pPr>
            <w:r>
              <w:rPr>
                <w:lang w:val="en-US"/>
              </w:rPr>
              <w:t xml:space="preserve">Isolation of </w:t>
            </w:r>
            <w:r w:rsidRPr="00D5296E">
              <w:rPr>
                <w:i/>
                <w:iCs/>
                <w:lang w:val="en-US"/>
              </w:rPr>
              <w:t>Trichoderma</w:t>
            </w:r>
            <w:r>
              <w:rPr>
                <w:lang w:val="en-US"/>
              </w:rPr>
              <w:t xml:space="preserve"> spp.</w:t>
            </w:r>
          </w:p>
        </w:tc>
        <w:tc>
          <w:tcPr>
            <w:tcW w:w="8702" w:type="dxa"/>
            <w:tcBorders>
              <w:top w:val="single" w:sz="4" w:space="0" w:color="000000"/>
            </w:tcBorders>
            <w:shd w:val="clear" w:color="auto" w:fill="FFFFFF" w:themeFill="background1"/>
          </w:tcPr>
          <w:p w14:paraId="7A5442FC" w14:textId="77777777" w:rsidR="003965CF" w:rsidRPr="003965CF" w:rsidRDefault="006F4BB0" w:rsidP="003965CF">
            <w:pPr>
              <w:jc w:val="both"/>
              <w:cnfStyle w:val="000000100000" w:firstRow="0" w:lastRow="0" w:firstColumn="0" w:lastColumn="0" w:oddVBand="0" w:evenVBand="0" w:oddHBand="1" w:evenHBand="0" w:firstRowFirstColumn="0" w:firstRowLastColumn="0" w:lastRowFirstColumn="0" w:lastRowLastColumn="0"/>
              <w:rPr>
                <w:lang w:val="en-US"/>
              </w:rPr>
            </w:pPr>
            <w:r w:rsidRPr="006F4BB0">
              <w:rPr>
                <w:i/>
                <w:lang w:val="en-US"/>
              </w:rPr>
              <w:t>Trichoderma</w:t>
            </w:r>
            <w:r w:rsidRPr="006F4BB0">
              <w:rPr>
                <w:iCs/>
                <w:lang w:val="en-US"/>
              </w:rPr>
              <w:t xml:space="preserve"> spp. were isolated from soil samples obtained from two organic rice fields in West Java, Indonesia: Nusantara Organic SRI Center in Sukabumi and SRI Mukti Sadaya Organic Rice Farm in Tasikmalaya. The isolation process involved a multilevel dilution technique on potato dextrose agar (PDA) medium</w:t>
            </w:r>
            <w:r>
              <w:rPr>
                <w:iCs/>
                <w:lang w:val="en-US"/>
              </w:rPr>
              <w:t xml:space="preserve">. </w:t>
            </w:r>
            <w:r w:rsidR="003965CF" w:rsidRPr="003965CF">
              <w:rPr>
                <w:lang w:val="en-US"/>
              </w:rPr>
              <w:t xml:space="preserve">For this study, 1 g of soil sample was added to 10 mL of distilled water. The solution was homogenized to make a suspension and labeled as A. Before the </w:t>
            </w:r>
            <w:r w:rsidR="003965CF" w:rsidRPr="003965CF">
              <w:rPr>
                <w:bCs/>
                <w:lang w:val="en-US"/>
              </w:rPr>
              <w:t>sedimentation of the soil</w:t>
            </w:r>
            <w:r w:rsidR="003965CF" w:rsidRPr="003965CF">
              <w:rPr>
                <w:lang w:val="en-US"/>
              </w:rPr>
              <w:t xml:space="preserve">, 1 mL of the suspension was extracted using a sterile pipette and put into 9 mL of distilled water. The mixture was </w:t>
            </w:r>
            <w:proofErr w:type="spellStart"/>
            <w:r w:rsidR="003965CF" w:rsidRPr="003965CF">
              <w:rPr>
                <w:lang w:val="en-US"/>
              </w:rPr>
              <w:t>homogenated</w:t>
            </w:r>
            <w:proofErr w:type="spellEnd"/>
            <w:r w:rsidR="003965CF" w:rsidRPr="003965CF">
              <w:rPr>
                <w:lang w:val="en-US"/>
              </w:rPr>
              <w:t xml:space="preserve"> and labeled as B. This dilution step was repeated three times, each time with 1 mL of the previous suspension and 9 mL of distilled water and labeled sequentially as C, D and E. This results in a dilution rate of 10</w:t>
            </w:r>
            <w:r w:rsidR="003965CF" w:rsidRPr="003965CF">
              <w:rPr>
                <w:b/>
                <w:vertAlign w:val="superscript"/>
                <w:lang w:val="en-US"/>
              </w:rPr>
              <w:t>−1</w:t>
            </w:r>
            <w:r w:rsidR="003965CF" w:rsidRPr="003965CF">
              <w:rPr>
                <w:lang w:val="en-US"/>
              </w:rPr>
              <w:t xml:space="preserve"> to 10</w:t>
            </w:r>
            <w:r w:rsidR="003965CF" w:rsidRPr="003965CF">
              <w:rPr>
                <w:b/>
                <w:vertAlign w:val="superscript"/>
                <w:lang w:val="en-US"/>
              </w:rPr>
              <w:t>−5</w:t>
            </w:r>
            <w:r w:rsidR="003965CF" w:rsidRPr="003965CF">
              <w:rPr>
                <w:lang w:val="en-US"/>
              </w:rPr>
              <w:t xml:space="preserve"> g of soil per </w:t>
            </w:r>
            <w:proofErr w:type="spellStart"/>
            <w:r w:rsidR="003965CF" w:rsidRPr="003965CF">
              <w:rPr>
                <w:lang w:val="en-US"/>
              </w:rPr>
              <w:t>mL.</w:t>
            </w:r>
            <w:proofErr w:type="spellEnd"/>
            <w:r w:rsidR="003965CF" w:rsidRPr="003965CF">
              <w:rPr>
                <w:lang w:val="en-US"/>
              </w:rPr>
              <w:t xml:space="preserve"> A total of 100 </w:t>
            </w:r>
            <w:proofErr w:type="spellStart"/>
            <w:r w:rsidR="003965CF" w:rsidRPr="003965CF">
              <w:rPr>
                <w:lang w:val="en-US"/>
              </w:rPr>
              <w:t>μL</w:t>
            </w:r>
            <w:proofErr w:type="spellEnd"/>
            <w:r w:rsidR="003965CF" w:rsidRPr="003965CF">
              <w:rPr>
                <w:lang w:val="en-US"/>
              </w:rPr>
              <w:t xml:space="preserve"> of solution was pipetted out and poured (pour plate) onto the prepared potato </w:t>
            </w:r>
            <w:proofErr w:type="spellStart"/>
            <w:r w:rsidR="003965CF" w:rsidRPr="003965CF">
              <w:rPr>
                <w:lang w:val="en-US"/>
              </w:rPr>
              <w:t>dexstrose</w:t>
            </w:r>
            <w:proofErr w:type="spellEnd"/>
            <w:r w:rsidR="003965CF" w:rsidRPr="003965CF">
              <w:rPr>
                <w:lang w:val="en-US"/>
              </w:rPr>
              <w:t xml:space="preserve"> agar (PDA) medium. The agar was then incubated at 26 °C until fungal colonies formed. Subsequently, the isolates underwent purification and was moved to a petri dish containing fresh PDA medium (Mishra et al. 2019). </w:t>
            </w:r>
          </w:p>
          <w:p w14:paraId="0D9AAC98" w14:textId="77777777" w:rsidR="002C60C4" w:rsidRDefault="002C60C4">
            <w:pPr>
              <w:cnfStyle w:val="000000100000" w:firstRow="0" w:lastRow="0" w:firstColumn="0" w:lastColumn="0" w:oddVBand="0" w:evenVBand="0" w:oddHBand="1" w:evenHBand="0" w:firstRowFirstColumn="0" w:firstRowLastColumn="0" w:lastRowFirstColumn="0" w:lastRowLastColumn="0"/>
              <w:rPr>
                <w:lang w:val="en-US"/>
              </w:rPr>
            </w:pPr>
          </w:p>
        </w:tc>
      </w:tr>
      <w:tr w:rsidR="002C60C4" w14:paraId="1EB0ED38" w14:textId="77777777" w:rsidTr="00853292">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6FB34F67" w14:textId="77777777" w:rsidR="002C60C4" w:rsidRDefault="00D5296E" w:rsidP="00A16F72">
            <w:pPr>
              <w:rPr>
                <w:lang w:val="en-US"/>
              </w:rPr>
            </w:pPr>
            <w:r w:rsidRPr="00D5296E">
              <w:rPr>
                <w:lang w:val="en-US"/>
              </w:rPr>
              <w:t xml:space="preserve">Morphological characterizations of </w:t>
            </w:r>
            <w:r w:rsidRPr="00D5296E">
              <w:rPr>
                <w:i/>
                <w:iCs/>
                <w:lang w:val="en-US"/>
              </w:rPr>
              <w:t>Trichoderma</w:t>
            </w:r>
          </w:p>
        </w:tc>
        <w:tc>
          <w:tcPr>
            <w:tcW w:w="8702" w:type="dxa"/>
            <w:shd w:val="clear" w:color="auto" w:fill="FFFFFF" w:themeFill="background1"/>
          </w:tcPr>
          <w:p w14:paraId="4CFA05B3" w14:textId="62EEB24C" w:rsidR="003965CF" w:rsidRPr="003965CF" w:rsidRDefault="003965CF" w:rsidP="003965CF">
            <w:pPr>
              <w:jc w:val="both"/>
              <w:cnfStyle w:val="000000000000" w:firstRow="0" w:lastRow="0" w:firstColumn="0" w:lastColumn="0" w:oddVBand="0" w:evenVBand="0" w:oddHBand="0" w:evenHBand="0" w:firstRowFirstColumn="0" w:firstRowLastColumn="0" w:lastRowFirstColumn="0" w:lastRowLastColumn="0"/>
              <w:rPr>
                <w:lang w:val="en-US"/>
              </w:rPr>
            </w:pPr>
            <w:r w:rsidRPr="003965CF">
              <w:rPr>
                <w:lang w:val="en-US"/>
              </w:rPr>
              <w:t xml:space="preserve">Morphological characterization was carried out after obtaining pure isolates of </w:t>
            </w:r>
            <w:r w:rsidRPr="003965CF">
              <w:rPr>
                <w:bCs/>
                <w:i/>
                <w:iCs/>
                <w:lang w:val="en-US"/>
              </w:rPr>
              <w:t>Trichoderma</w:t>
            </w:r>
            <w:r w:rsidRPr="003965CF">
              <w:rPr>
                <w:lang w:val="en-US"/>
              </w:rPr>
              <w:t xml:space="preserve"> spp. The macroscopic observations of </w:t>
            </w:r>
            <w:r w:rsidRPr="003965CF">
              <w:rPr>
                <w:i/>
                <w:lang w:val="en-US"/>
              </w:rPr>
              <w:t>Trichoderma</w:t>
            </w:r>
            <w:r w:rsidRPr="003965CF">
              <w:rPr>
                <w:lang w:val="en-US"/>
              </w:rPr>
              <w:t xml:space="preserve"> strains were performed using an interactive strains identification key given by Jiang et al. (2016). Isolates were identified by observing concentric rings, conidia and pigmentation, and mycelium texture (Kannangara et al. 2017). The microscopic observation carried out using slide culture method as described by Asis et al. (2021). After three days, the slide culture was observed with 100× and 400× magnifications using a light microscope (Olympus CX-21).</w:t>
            </w:r>
          </w:p>
          <w:p w14:paraId="2EB9885C" w14:textId="77777777" w:rsidR="002C60C4" w:rsidRDefault="002C60C4">
            <w:pPr>
              <w:cnfStyle w:val="000000000000" w:firstRow="0" w:lastRow="0" w:firstColumn="0" w:lastColumn="0" w:oddVBand="0" w:evenVBand="0" w:oddHBand="0" w:evenHBand="0" w:firstRowFirstColumn="0" w:firstRowLastColumn="0" w:lastRowFirstColumn="0" w:lastRowLastColumn="0"/>
              <w:rPr>
                <w:lang w:val="en-US"/>
              </w:rPr>
            </w:pPr>
          </w:p>
        </w:tc>
      </w:tr>
      <w:tr w:rsidR="003965CF" w14:paraId="0DE3C88E" w14:textId="77777777" w:rsidTr="008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04892EE0" w14:textId="77777777" w:rsidR="003965CF" w:rsidRPr="003965CF" w:rsidRDefault="003965CF" w:rsidP="00440567">
            <w:pPr>
              <w:rPr>
                <w:i/>
                <w:iCs/>
                <w:lang w:val="en-US"/>
              </w:rPr>
            </w:pPr>
            <w:r>
              <w:rPr>
                <w:lang w:val="en-US"/>
              </w:rPr>
              <w:t xml:space="preserve">Spore suspension of </w:t>
            </w:r>
            <w:r>
              <w:rPr>
                <w:i/>
                <w:iCs/>
                <w:lang w:val="en-US"/>
              </w:rPr>
              <w:t xml:space="preserve">Trichoderma </w:t>
            </w:r>
          </w:p>
        </w:tc>
        <w:tc>
          <w:tcPr>
            <w:tcW w:w="8702" w:type="dxa"/>
            <w:shd w:val="clear" w:color="auto" w:fill="FFFFFF" w:themeFill="background1"/>
          </w:tcPr>
          <w:p w14:paraId="1DD7FD53" w14:textId="77777777" w:rsidR="003965CF" w:rsidRPr="003965CF" w:rsidRDefault="003965CF" w:rsidP="003965CF">
            <w:pPr>
              <w:jc w:val="both"/>
              <w:cnfStyle w:val="000000100000" w:firstRow="0" w:lastRow="0" w:firstColumn="0" w:lastColumn="0" w:oddVBand="0" w:evenVBand="0" w:oddHBand="1" w:evenHBand="0" w:firstRowFirstColumn="0" w:firstRowLastColumn="0" w:lastRowFirstColumn="0" w:lastRowLastColumn="0"/>
              <w:rPr>
                <w:lang w:val="en-US"/>
              </w:rPr>
            </w:pPr>
            <w:r w:rsidRPr="003965CF">
              <w:rPr>
                <w:i/>
                <w:lang w:val="en-US"/>
              </w:rPr>
              <w:t>Trichoderma</w:t>
            </w:r>
            <w:r w:rsidRPr="003965CF">
              <w:rPr>
                <w:lang w:val="en-US"/>
              </w:rPr>
              <w:t xml:space="preserve"> spp. were cultivated in PDA and incubated at 26 °C for seven days. </w:t>
            </w:r>
            <w:r w:rsidRPr="003965CF">
              <w:rPr>
                <w:i/>
                <w:lang w:val="en-US"/>
              </w:rPr>
              <w:t>Trichoderma</w:t>
            </w:r>
            <w:r w:rsidRPr="003965CF">
              <w:rPr>
                <w:lang w:val="en-US"/>
              </w:rPr>
              <w:t xml:space="preserve"> spores were taken out from the plates after incubation by adding sterile distilled water, and the spores were immediately transferred to an Erlenmeyer flask. Based on the number of spores counted in a hemocytometer, the spore concentration was adjusted to 10</w:t>
            </w:r>
            <w:r w:rsidRPr="003965CF">
              <w:rPr>
                <w:vertAlign w:val="superscript"/>
                <w:lang w:val="en-US"/>
              </w:rPr>
              <w:t>7</w:t>
            </w:r>
            <w:r w:rsidRPr="003965CF">
              <w:rPr>
                <w:lang w:val="en-US"/>
              </w:rPr>
              <w:t xml:space="preserve"> spores/mL (Doni et al. 2017). The following formula is used to count spores (Anhar et al. 2018):</w:t>
            </w:r>
          </w:p>
          <w:p w14:paraId="021E2A9A" w14:textId="77777777" w:rsidR="003965CF" w:rsidRPr="003965CF" w:rsidRDefault="003965CF" w:rsidP="003C5111">
            <w:pPr>
              <w:jc w:val="center"/>
              <w:cnfStyle w:val="000000100000" w:firstRow="0" w:lastRow="0" w:firstColumn="0" w:lastColumn="0" w:oddVBand="0" w:evenVBand="0" w:oddHBand="1" w:evenHBand="0" w:firstRowFirstColumn="0" w:firstRowLastColumn="0" w:lastRowFirstColumn="0" w:lastRowLastColumn="0"/>
              <w:rPr>
                <w:lang w:val="en-US"/>
              </w:rPr>
            </w:pPr>
            <w:r w:rsidRPr="003965CF">
              <w:rPr>
                <w:lang w:val="en-US"/>
              </w:rPr>
              <w:t xml:space="preserve">Spore density (spores/mL) = </w:t>
            </w:r>
            <m:oMath>
              <m:f>
                <m:fPr>
                  <m:ctrlPr>
                    <w:rPr>
                      <w:rFonts w:ascii="Cambria Math" w:hAnsi="Cambria Math"/>
                      <w:iCs/>
                    </w:rPr>
                  </m:ctrlPr>
                </m:fPr>
                <m:num>
                  <m:r>
                    <m:rPr>
                      <m:sty m:val="p"/>
                    </m:rPr>
                    <w:rPr>
                      <w:rFonts w:ascii="Cambria Math" w:hAnsi="Cambria Math"/>
                      <w:lang w:val="en-US"/>
                    </w:rPr>
                    <m:t>number of conidia × 5 × dilution factor</m:t>
                  </m:r>
                </m:num>
                <m:den>
                  <m:r>
                    <m:rPr>
                      <m:sty m:val="p"/>
                    </m:rPr>
                    <w:rPr>
                      <w:rFonts w:ascii="Cambria Math" w:hAnsi="Cambria Math"/>
                      <w:lang w:val="en-US"/>
                    </w:rPr>
                    <m:t>haemocytometer volume</m:t>
                  </m:r>
                </m:den>
              </m:f>
            </m:oMath>
            <w:r w:rsidRPr="003965CF">
              <w:rPr>
                <w:lang w:val="en-US"/>
              </w:rPr>
              <w:t xml:space="preserve"> </w:t>
            </w:r>
            <w:r w:rsidRPr="003965CF">
              <w:rPr>
                <w:lang w:val="en-US"/>
              </w:rPr>
              <w:fldChar w:fldCharType="begin"/>
            </w:r>
            <w:r w:rsidRPr="003965CF">
              <w:rPr>
                <w:lang w:val="en-US"/>
              </w:rPr>
              <w:instrText xml:space="preserve"> QUOTE </w:instrText>
            </w:r>
            <m:oMath>
              <m:f>
                <m:fPr>
                  <m:ctrlPr>
                    <w:rPr>
                      <w:rFonts w:ascii="Cambria Math" w:hAnsi="Cambria Math"/>
                      <w:lang w:val="en-US"/>
                    </w:rPr>
                  </m:ctrlPr>
                </m:fPr>
                <m:num>
                  <m:r>
                    <m:rPr>
                      <m:sty m:val="p"/>
                    </m:rPr>
                    <w:rPr>
                      <w:rFonts w:ascii="Cambria Math" w:hAnsi="Cambria Math"/>
                      <w:lang w:val="en-US"/>
                    </w:rPr>
                    <m:t>number of conidia × 5 ×dilution factor</m:t>
                  </m:r>
                </m:num>
                <m:den>
                  <m:r>
                    <m:rPr>
                      <m:sty m:val="p"/>
                    </m:rPr>
                    <w:rPr>
                      <w:rFonts w:ascii="Cambria Math" w:hAnsi="Cambria Math"/>
                      <w:lang w:val="en-US"/>
                    </w:rPr>
                    <m:t>haemocytometer volume</m:t>
                  </m:r>
                </m:den>
              </m:f>
            </m:oMath>
            <w:r w:rsidRPr="003965CF">
              <w:rPr>
                <w:lang w:val="en-US"/>
              </w:rPr>
              <w:instrText xml:space="preserve"> </w:instrText>
            </w:r>
            <w:r w:rsidR="00000000">
              <w:rPr>
                <w:lang w:val="en-US"/>
              </w:rPr>
              <w:fldChar w:fldCharType="separate"/>
            </w:r>
            <w:r w:rsidRPr="003965CF">
              <w:rPr>
                <w:lang w:val="en-US"/>
              </w:rPr>
              <w:fldChar w:fldCharType="end"/>
            </w:r>
          </w:p>
          <w:p w14:paraId="5A551A6E" w14:textId="77777777" w:rsidR="003965CF" w:rsidRDefault="003965CF">
            <w:pPr>
              <w:cnfStyle w:val="000000100000" w:firstRow="0" w:lastRow="0" w:firstColumn="0" w:lastColumn="0" w:oddVBand="0" w:evenVBand="0" w:oddHBand="1" w:evenHBand="0" w:firstRowFirstColumn="0" w:firstRowLastColumn="0" w:lastRowFirstColumn="0" w:lastRowLastColumn="0"/>
              <w:rPr>
                <w:lang w:val="en-US"/>
              </w:rPr>
            </w:pPr>
          </w:p>
        </w:tc>
      </w:tr>
      <w:tr w:rsidR="00E9545C" w14:paraId="6BA03FBD" w14:textId="77777777" w:rsidTr="00853292">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7691AADA" w14:textId="77777777" w:rsidR="00E9545C" w:rsidRPr="00D5296E" w:rsidRDefault="00E9545C" w:rsidP="000C5D97">
            <w:pPr>
              <w:rPr>
                <w:lang w:val="en-US"/>
              </w:rPr>
            </w:pPr>
            <w:r>
              <w:rPr>
                <w:lang w:val="en-US"/>
              </w:rPr>
              <w:t>Rice seed inoculation</w:t>
            </w:r>
          </w:p>
        </w:tc>
        <w:tc>
          <w:tcPr>
            <w:tcW w:w="8702" w:type="dxa"/>
            <w:shd w:val="clear" w:color="auto" w:fill="FFFFFF" w:themeFill="background1"/>
          </w:tcPr>
          <w:p w14:paraId="4D546109" w14:textId="77777777" w:rsidR="00500D6D" w:rsidRPr="00500D6D" w:rsidRDefault="00500D6D" w:rsidP="00500D6D">
            <w:pPr>
              <w:jc w:val="both"/>
              <w:cnfStyle w:val="000000000000" w:firstRow="0" w:lastRow="0" w:firstColumn="0" w:lastColumn="0" w:oddVBand="0" w:evenVBand="0" w:oddHBand="0" w:evenHBand="0" w:firstRowFirstColumn="0" w:firstRowLastColumn="0" w:lastRowFirstColumn="0" w:lastRowLastColumn="0"/>
              <w:rPr>
                <w:lang w:val="en-US"/>
              </w:rPr>
            </w:pPr>
            <w:r w:rsidRPr="00500D6D">
              <w:rPr>
                <w:lang w:val="en-US"/>
              </w:rPr>
              <w:t xml:space="preserve">Prior to experimentation, the rice seeds underwent surface sterilization with 70% ethanol, followed by a thorough rinse with distilled water. Each treatment comprised a set of 100 seeds. </w:t>
            </w:r>
            <w:r w:rsidRPr="00500D6D">
              <w:rPr>
                <w:i/>
                <w:lang w:val="en-US"/>
              </w:rPr>
              <w:t>Trichoderma</w:t>
            </w:r>
            <w:r w:rsidRPr="00500D6D">
              <w:rPr>
                <w:lang w:val="en-US"/>
              </w:rPr>
              <w:t xml:space="preserve"> spore treatment involved immersing 100 seeds in a suspension containing 10</w:t>
            </w:r>
            <w:r w:rsidRPr="00500D6D">
              <w:rPr>
                <w:vertAlign w:val="superscript"/>
                <w:lang w:val="en-US"/>
              </w:rPr>
              <w:t>7</w:t>
            </w:r>
            <w:r w:rsidRPr="00500D6D">
              <w:rPr>
                <w:lang w:val="en-US"/>
              </w:rPr>
              <w:t xml:space="preserve"> spores/mL for a duration of 24 hours. As a control, an equivalent number of seeds were subjected to a 24-hour soaking in sterile distilled water. The planting medium used is a mixture of andosol </w:t>
            </w:r>
            <w:r w:rsidRPr="00500D6D">
              <w:rPr>
                <w:lang w:val="en-US"/>
              </w:rPr>
              <w:lastRenderedPageBreak/>
              <w:t>soil, compost, and husk charcoal with a ratio of 2:1:1. The plant growth medium used has the following chemical characteristics as pH 7.9; total N 0.3 %; total P 0.39 %; and total K 0.11 %. The soil was sterilized in an autoclave before use. The amount of 1 kg of soil was put into a</w:t>
            </w:r>
            <w:r w:rsidRPr="00500D6D">
              <w:rPr>
                <w:b/>
                <w:lang w:val="en-US"/>
              </w:rPr>
              <w:t xml:space="preserve"> </w:t>
            </w:r>
            <w:r w:rsidRPr="00500D6D">
              <w:rPr>
                <w:lang w:val="en-US"/>
              </w:rPr>
              <w:t xml:space="preserve">seedling tray size 54 </w:t>
            </w:r>
            <w:r w:rsidRPr="00500D6D">
              <w:rPr>
                <w:b/>
                <w:lang w:val="en-US"/>
              </w:rPr>
              <w:t xml:space="preserve">× </w:t>
            </w:r>
            <w:r w:rsidRPr="00500D6D">
              <w:rPr>
                <w:lang w:val="en-US"/>
              </w:rPr>
              <w:fldChar w:fldCharType="begin"/>
            </w:r>
            <w:r w:rsidRPr="00500D6D">
              <w:rPr>
                <w:lang w:val="en-US"/>
              </w:rPr>
              <w:instrText xml:space="preserve"> QUOTE </w:instrText>
            </w:r>
            <m:oMath>
              <m:r>
                <m:rPr>
                  <m:sty m:val="p"/>
                </m:rPr>
                <w:rPr>
                  <w:rFonts w:ascii="Cambria Math" w:hAnsi="Cambria Math"/>
                  <w:lang w:val="en-US"/>
                </w:rPr>
                <m:t>×</m:t>
              </m:r>
            </m:oMath>
            <w:r w:rsidRPr="00500D6D">
              <w:rPr>
                <w:lang w:val="en-US"/>
              </w:rPr>
              <w:instrText xml:space="preserve"> </w:instrText>
            </w:r>
            <w:r w:rsidR="00000000">
              <w:rPr>
                <w:lang w:val="en-US"/>
              </w:rPr>
              <w:fldChar w:fldCharType="separate"/>
            </w:r>
            <w:r w:rsidRPr="00500D6D">
              <w:rPr>
                <w:lang w:val="en-US"/>
              </w:rPr>
              <w:fldChar w:fldCharType="end"/>
            </w:r>
            <w:r w:rsidRPr="00500D6D">
              <w:rPr>
                <w:lang w:val="en-US"/>
              </w:rPr>
              <w:t xml:space="preserve">28 cm. Subsequently, seeds assigned to each experimental condition—treatment groups (Tasikmalaya: TM and Sukabumi: SB, with </w:t>
            </w:r>
            <w:r w:rsidRPr="00500D6D">
              <w:rPr>
                <w:i/>
                <w:lang w:val="en-US"/>
              </w:rPr>
              <w:t>Trichoderma</w:t>
            </w:r>
            <w:r w:rsidRPr="00500D6D">
              <w:rPr>
                <w:lang w:val="en-US"/>
              </w:rPr>
              <w:t xml:space="preserve"> inoculation) and the control group (C, without inoculation)—were cultivated separately for a period of 14 days under greenhouse conditions (with temperature of 29 °C; light intensity of 296 </w:t>
            </w:r>
            <w:proofErr w:type="spellStart"/>
            <w:r w:rsidRPr="00500D6D">
              <w:rPr>
                <w:lang w:val="en-US"/>
              </w:rPr>
              <w:t>μmol</w:t>
            </w:r>
            <w:proofErr w:type="spellEnd"/>
            <w:r w:rsidRPr="00500D6D">
              <w:rPr>
                <w:lang w:val="en-US"/>
              </w:rPr>
              <w:t>; 99% humidity; and photoperiod of 12 h 7 m 17 s). Irrigation was performed using a water sprayer to minimize potential trauma to the growing seedlings (Doni et al. 2017).</w:t>
            </w:r>
          </w:p>
          <w:p w14:paraId="391B6937" w14:textId="77777777" w:rsidR="00E9545C" w:rsidRPr="003C5111" w:rsidRDefault="00E9545C" w:rsidP="003C5111">
            <w:pPr>
              <w:jc w:val="both"/>
              <w:cnfStyle w:val="000000000000" w:firstRow="0" w:lastRow="0" w:firstColumn="0" w:lastColumn="0" w:oddVBand="0" w:evenVBand="0" w:oddHBand="0" w:evenHBand="0" w:firstRowFirstColumn="0" w:firstRowLastColumn="0" w:lastRowFirstColumn="0" w:lastRowLastColumn="0"/>
              <w:rPr>
                <w:lang w:val="en-US"/>
              </w:rPr>
            </w:pPr>
          </w:p>
        </w:tc>
      </w:tr>
      <w:tr w:rsidR="002C60C4" w14:paraId="1AA88D5F" w14:textId="77777777" w:rsidTr="008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7DBA30EA" w14:textId="77777777" w:rsidR="002C60C4" w:rsidRDefault="00D5296E" w:rsidP="000C5D97">
            <w:pPr>
              <w:rPr>
                <w:lang w:val="en-US"/>
              </w:rPr>
            </w:pPr>
            <w:r w:rsidRPr="00D5296E">
              <w:rPr>
                <w:lang w:val="en-US"/>
              </w:rPr>
              <w:lastRenderedPageBreak/>
              <w:t>Measurement of seedling growth</w:t>
            </w:r>
          </w:p>
        </w:tc>
        <w:tc>
          <w:tcPr>
            <w:tcW w:w="8702" w:type="dxa"/>
            <w:shd w:val="clear" w:color="auto" w:fill="FFFFFF" w:themeFill="background1"/>
          </w:tcPr>
          <w:p w14:paraId="6AF37991" w14:textId="77777777" w:rsidR="003C5111" w:rsidRPr="003C5111" w:rsidRDefault="003C5111" w:rsidP="003C5111">
            <w:pPr>
              <w:jc w:val="both"/>
              <w:cnfStyle w:val="000000100000" w:firstRow="0" w:lastRow="0" w:firstColumn="0" w:lastColumn="0" w:oddVBand="0" w:evenVBand="0" w:oddHBand="1" w:evenHBand="0" w:firstRowFirstColumn="0" w:firstRowLastColumn="0" w:lastRowFirstColumn="0" w:lastRowLastColumn="0"/>
              <w:rPr>
                <w:lang w:val="en-US"/>
              </w:rPr>
            </w:pPr>
            <w:r w:rsidRPr="003C5111">
              <w:rPr>
                <w:lang w:val="en-US"/>
              </w:rPr>
              <w:t>Root and shoot length measurements were conducted when the seedlings reached 14 days after planting, involving the random selection of 10 seedlings from each treatment groups. For shoot length (cm), measurements were taken from the base of the primary leaf to the base of the hypocotyl, while for root length (cm), measurements were made from the tip of the primary root to the base of the hypocotyl. The fresh weight and dry weight of the seedlings (g) were determined using a digital scale. Additionally, photographic documentation of the seedlings was captured using a camera (</w:t>
            </w:r>
            <w:r w:rsidRPr="003C5111">
              <w:rPr>
                <w:bCs/>
                <w:lang w:val="en-US"/>
              </w:rPr>
              <w:t>Fujifilm X-A5 with 15–45 mm lens</w:t>
            </w:r>
            <w:r w:rsidRPr="003C5111">
              <w:rPr>
                <w:lang w:val="en-US"/>
              </w:rPr>
              <w:t>) (Doni et al. 2014).</w:t>
            </w:r>
          </w:p>
          <w:p w14:paraId="198B938F" w14:textId="77777777" w:rsidR="002C60C4" w:rsidRDefault="002C60C4">
            <w:pPr>
              <w:cnfStyle w:val="000000100000" w:firstRow="0" w:lastRow="0" w:firstColumn="0" w:lastColumn="0" w:oddVBand="0" w:evenVBand="0" w:oddHBand="1" w:evenHBand="0" w:firstRowFirstColumn="0" w:firstRowLastColumn="0" w:lastRowFirstColumn="0" w:lastRowLastColumn="0"/>
              <w:rPr>
                <w:lang w:val="en-US"/>
              </w:rPr>
            </w:pPr>
          </w:p>
        </w:tc>
      </w:tr>
      <w:tr w:rsidR="00D5296E" w14:paraId="65FADD21" w14:textId="77777777" w:rsidTr="00853292">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4F4446BC" w14:textId="77777777" w:rsidR="00D5296E" w:rsidRPr="00D5296E" w:rsidRDefault="00D5296E" w:rsidP="000C5D97">
            <w:pPr>
              <w:rPr>
                <w:lang w:val="en-US"/>
              </w:rPr>
            </w:pPr>
            <w:r w:rsidRPr="00D5296E">
              <w:rPr>
                <w:lang w:val="en-US"/>
              </w:rPr>
              <w:t>Measurement of seed germination percentage, vigor index, and germination speed</w:t>
            </w:r>
          </w:p>
        </w:tc>
        <w:tc>
          <w:tcPr>
            <w:tcW w:w="8702" w:type="dxa"/>
            <w:shd w:val="clear" w:color="auto" w:fill="FFFFFF" w:themeFill="background1"/>
          </w:tcPr>
          <w:p w14:paraId="095A703E" w14:textId="77777777" w:rsidR="003C5111" w:rsidRP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Germination refers to the mean ratio of seeds that undergo the process of sprouting within a specific duration. Germination parameters were assessed on the 14</w:t>
            </w:r>
            <w:r w:rsidRPr="003C5111">
              <w:rPr>
                <w:vertAlign w:val="superscript"/>
                <w:lang w:val="en-US"/>
              </w:rPr>
              <w:t>th</w:t>
            </w:r>
            <w:r w:rsidRPr="003C5111">
              <w:rPr>
                <w:lang w:val="en-US"/>
              </w:rPr>
              <w:t xml:space="preserve"> day after sowing. The formula used to determine the germination percentage of seeds in each seedling tray is as follows (Li et al. 2022):</w:t>
            </w:r>
          </w:p>
          <w:p w14:paraId="6D90BB1C" w14:textId="77777777" w:rsidR="003C5111" w:rsidRDefault="003C5111" w:rsidP="003C5111">
            <w:pPr>
              <w:jc w:val="center"/>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 xml:space="preserve">Germination (%) =  </w:t>
            </w:r>
            <m:oMath>
              <m:f>
                <m:fPr>
                  <m:ctrlPr>
                    <w:rPr>
                      <w:rFonts w:ascii="Cambria Math" w:hAnsi="Cambria Math"/>
                      <w:i/>
                      <w:lang w:val="en-US"/>
                    </w:rPr>
                  </m:ctrlPr>
                </m:fPr>
                <m:num>
                  <m:r>
                    <m:rPr>
                      <m:sty m:val="p"/>
                    </m:rPr>
                    <w:rPr>
                      <w:rFonts w:ascii="Cambria Math" w:hAnsi="Cambria Math"/>
                      <w:lang w:val="en-US"/>
                    </w:rPr>
                    <m:t>number of seeds that germinated</m:t>
                  </m:r>
                </m:num>
                <m:den>
                  <m:r>
                    <m:rPr>
                      <m:sty m:val="p"/>
                    </m:rPr>
                    <w:rPr>
                      <w:rFonts w:ascii="Cambria Math" w:hAnsi="Cambria Math"/>
                      <w:lang w:val="en-US"/>
                    </w:rPr>
                    <m:t>number of seeds on tray</m:t>
                  </m:r>
                </m:den>
              </m:f>
              <m:r>
                <w:rPr>
                  <w:rFonts w:ascii="Cambria Math" w:hAnsi="Cambria Math"/>
                  <w:lang w:val="en-US"/>
                </w:rPr>
                <m:t xml:space="preserve"> </m:t>
              </m:r>
            </m:oMath>
            <w:r w:rsidRPr="003C5111">
              <w:rPr>
                <w:lang w:val="en-US"/>
              </w:rPr>
              <w:t>× 100</w:t>
            </w:r>
          </w:p>
          <w:p w14:paraId="6467110A" w14:textId="77777777" w:rsidR="003C5111" w:rsidRP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p>
          <w:p w14:paraId="61058DD0" w14:textId="77777777" w:rsidR="003C5111" w:rsidRP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The seed vigor index is calculated using the formula given by Abul-Baki and Anderson (1973), which is as follows:</w:t>
            </w:r>
          </w:p>
          <w:p w14:paraId="2D1E54F5" w14:textId="77777777" w:rsidR="003C5111" w:rsidRDefault="003C5111" w:rsidP="003C5111">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sidRPr="003C5111">
              <w:rPr>
                <w:lang w:val="en-US"/>
              </w:rPr>
              <w:t>Vigour</w:t>
            </w:r>
            <w:proofErr w:type="spellEnd"/>
            <w:r w:rsidRPr="003C5111">
              <w:rPr>
                <w:lang w:val="en-US"/>
              </w:rPr>
              <w:t xml:space="preserve"> index = Germination (%) × seedling length (shoot length + root length) (cm)</w:t>
            </w:r>
          </w:p>
          <w:p w14:paraId="7FAE0029" w14:textId="77777777" w:rsidR="003C5111" w:rsidRP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p>
          <w:p w14:paraId="514917D5" w14:textId="77777777" w:rsidR="003C5111" w:rsidRP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Germination speed is used to determine the speed at which seeds germinate. Seed germination speed was measured from the first day to the 14</w:t>
            </w:r>
            <w:r w:rsidRPr="003C5111">
              <w:rPr>
                <w:vertAlign w:val="superscript"/>
                <w:lang w:val="en-US"/>
              </w:rPr>
              <w:t>th</w:t>
            </w:r>
            <w:r w:rsidRPr="003C5111">
              <w:rPr>
                <w:lang w:val="en-US"/>
              </w:rPr>
              <w:t xml:space="preserve"> day following the formula explained in Gupta (1993), which is as follows:</w:t>
            </w:r>
          </w:p>
          <w:p w14:paraId="7C2438CB" w14:textId="77777777" w:rsidR="003C5111" w:rsidRPr="003C5111" w:rsidRDefault="003C5111" w:rsidP="003C5111">
            <w:pPr>
              <w:jc w:val="center"/>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 xml:space="preserve">Germination speed = </w:t>
            </w:r>
            <m:oMath>
              <m:f>
                <m:fPr>
                  <m:ctrlPr>
                    <w:rPr>
                      <w:rFonts w:ascii="Cambria Math" w:hAnsi="Cambria Math"/>
                      <w:lang w:val="en-US"/>
                    </w:rPr>
                  </m:ctrlPr>
                </m:fPr>
                <m:num>
                  <m:r>
                    <m:rPr>
                      <m:sty m:val="p"/>
                    </m:rPr>
                    <w:rPr>
                      <w:rFonts w:ascii="Cambria Math" w:hAnsi="Cambria Math"/>
                      <w:lang w:val="en-US"/>
                    </w:rPr>
                    <m:t>number of seeds that germinated</m:t>
                  </m:r>
                </m:num>
                <m:den>
                  <m:r>
                    <m:rPr>
                      <m:sty m:val="p"/>
                    </m:rPr>
                    <w:rPr>
                      <w:rFonts w:ascii="Cambria Math" w:hAnsi="Cambria Math"/>
                      <w:lang w:val="en-US"/>
                    </w:rPr>
                    <m:t>first day of observation</m:t>
                  </m:r>
                </m:den>
              </m:f>
              <m: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num>
                <m:den>
                  <m:r>
                    <m:rPr>
                      <m:sty m:val="p"/>
                    </m:rPr>
                    <w:rPr>
                      <w:rFonts w:ascii="Cambria Math" w:hAnsi="Cambria Math"/>
                      <w:lang w:val="en-US"/>
                    </w:rPr>
                    <m:t>…</m:t>
                  </m:r>
                </m:den>
              </m:f>
              <m: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number of seeds that germinated</m:t>
                  </m:r>
                </m:num>
                <m:den>
                  <m:r>
                    <m:rPr>
                      <m:sty m:val="p"/>
                    </m:rPr>
                    <w:rPr>
                      <w:rFonts w:ascii="Cambria Math" w:hAnsi="Cambria Math"/>
                      <w:lang w:val="en-US"/>
                    </w:rPr>
                    <m:t>last day of observation</m:t>
                  </m:r>
                </m:den>
              </m:f>
            </m:oMath>
          </w:p>
          <w:p w14:paraId="14A3AB9A" w14:textId="77777777" w:rsidR="00D5296E" w:rsidRDefault="00D5296E" w:rsidP="003C5111">
            <w:pPr>
              <w:jc w:val="both"/>
              <w:cnfStyle w:val="000000000000" w:firstRow="0" w:lastRow="0" w:firstColumn="0" w:lastColumn="0" w:oddVBand="0" w:evenVBand="0" w:oddHBand="0" w:evenHBand="0" w:firstRowFirstColumn="0" w:firstRowLastColumn="0" w:lastRowFirstColumn="0" w:lastRowLastColumn="0"/>
              <w:rPr>
                <w:lang w:val="en-US"/>
              </w:rPr>
            </w:pPr>
          </w:p>
        </w:tc>
      </w:tr>
      <w:tr w:rsidR="00500D6D" w14:paraId="7FBA2E96" w14:textId="77777777" w:rsidTr="008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64021EF1" w14:textId="77777777" w:rsidR="00500D6D" w:rsidRPr="00500D6D" w:rsidRDefault="00500D6D" w:rsidP="000C5D97">
            <w:pPr>
              <w:rPr>
                <w:bCs w:val="0"/>
                <w:lang w:val="en-US"/>
              </w:rPr>
            </w:pPr>
            <w:r w:rsidRPr="00500D6D">
              <w:rPr>
                <w:lang w:val="en-US"/>
              </w:rPr>
              <w:t xml:space="preserve">Rice plant preparation and </w:t>
            </w:r>
            <w:r w:rsidRPr="00500D6D">
              <w:rPr>
                <w:i/>
                <w:iCs/>
                <w:lang w:val="en-US"/>
              </w:rPr>
              <w:t>Trichoderma</w:t>
            </w:r>
            <w:r w:rsidRPr="00500D6D">
              <w:rPr>
                <w:lang w:val="en-US"/>
              </w:rPr>
              <w:t xml:space="preserve"> inoculation</w:t>
            </w:r>
          </w:p>
          <w:p w14:paraId="4069E93B" w14:textId="77777777" w:rsidR="00500D6D" w:rsidRPr="00D5296E" w:rsidRDefault="00500D6D" w:rsidP="00455333">
            <w:pPr>
              <w:jc w:val="both"/>
              <w:rPr>
                <w:lang w:val="en-US"/>
              </w:rPr>
            </w:pPr>
          </w:p>
        </w:tc>
        <w:tc>
          <w:tcPr>
            <w:tcW w:w="8702" w:type="dxa"/>
            <w:shd w:val="clear" w:color="auto" w:fill="FFFFFF" w:themeFill="background1"/>
          </w:tcPr>
          <w:p w14:paraId="3A254291" w14:textId="77777777" w:rsidR="00500D6D" w:rsidRDefault="00500D6D" w:rsidP="00485FEF">
            <w:pPr>
              <w:jc w:val="both"/>
              <w:cnfStyle w:val="000000100000" w:firstRow="0" w:lastRow="0" w:firstColumn="0" w:lastColumn="0" w:oddVBand="0" w:evenVBand="0" w:oddHBand="1" w:evenHBand="0" w:firstRowFirstColumn="0" w:firstRowLastColumn="0" w:lastRowFirstColumn="0" w:lastRowLastColumn="0"/>
              <w:rPr>
                <w:lang w:val="en-US"/>
              </w:rPr>
            </w:pPr>
            <w:r w:rsidRPr="00500D6D">
              <w:rPr>
                <w:lang w:val="en-US"/>
              </w:rPr>
              <w:lastRenderedPageBreak/>
              <w:t xml:space="preserve">Before transplanting, 14-day-old seedlings were </w:t>
            </w:r>
            <w:r w:rsidR="00040D7A">
              <w:rPr>
                <w:lang w:val="en-US"/>
              </w:rPr>
              <w:t>taken out along with their roots</w:t>
            </w:r>
            <w:r w:rsidRPr="00500D6D">
              <w:rPr>
                <w:lang w:val="en-US"/>
              </w:rPr>
              <w:t xml:space="preserve">, and </w:t>
            </w:r>
            <w:r w:rsidR="00040D7A">
              <w:rPr>
                <w:lang w:val="en-US"/>
              </w:rPr>
              <w:t>the</w:t>
            </w:r>
            <w:r w:rsidRPr="00500D6D">
              <w:rPr>
                <w:lang w:val="en-US"/>
              </w:rPr>
              <w:t xml:space="preserve"> roots were </w:t>
            </w:r>
            <w:r w:rsidR="00040D7A">
              <w:rPr>
                <w:lang w:val="en-US"/>
              </w:rPr>
              <w:t>inoculated</w:t>
            </w:r>
            <w:r w:rsidRPr="00500D6D">
              <w:rPr>
                <w:lang w:val="en-US"/>
              </w:rPr>
              <w:t xml:space="preserve"> </w:t>
            </w:r>
            <w:r w:rsidR="00040D7A">
              <w:rPr>
                <w:lang w:val="en-US"/>
              </w:rPr>
              <w:t>with</w:t>
            </w:r>
            <w:r w:rsidRPr="00500D6D">
              <w:rPr>
                <w:lang w:val="en-US"/>
              </w:rPr>
              <w:t xml:space="preserve"> </w:t>
            </w:r>
            <w:r w:rsidRPr="00500D6D">
              <w:rPr>
                <w:i/>
                <w:lang w:val="en-US"/>
              </w:rPr>
              <w:t>Trichoderma</w:t>
            </w:r>
            <w:r w:rsidRPr="00500D6D">
              <w:rPr>
                <w:lang w:val="en-US"/>
              </w:rPr>
              <w:t xml:space="preserve"> spp. </w:t>
            </w:r>
            <w:r w:rsidR="00040D7A">
              <w:rPr>
                <w:lang w:val="en-US"/>
              </w:rPr>
              <w:t xml:space="preserve">by soaking it in the </w:t>
            </w:r>
            <w:r w:rsidRPr="00500D6D">
              <w:rPr>
                <w:lang w:val="en-US"/>
              </w:rPr>
              <w:t>spore suspension (density of 10</w:t>
            </w:r>
            <w:r w:rsidRPr="00500D6D">
              <w:rPr>
                <w:vertAlign w:val="superscript"/>
                <w:lang w:val="en-US"/>
              </w:rPr>
              <w:t>7</w:t>
            </w:r>
            <w:r w:rsidRPr="00500D6D">
              <w:rPr>
                <w:lang w:val="en-US"/>
              </w:rPr>
              <w:t xml:space="preserve"> </w:t>
            </w:r>
            <w:r w:rsidRPr="00500D6D">
              <w:rPr>
                <w:lang w:val="en-US"/>
              </w:rPr>
              <w:lastRenderedPageBreak/>
              <w:t>spores/mL) for a duration of 10 minutes</w:t>
            </w:r>
            <w:r w:rsidR="00040D7A">
              <w:rPr>
                <w:lang w:val="en-US"/>
              </w:rPr>
              <w:t xml:space="preserve"> (</w:t>
            </w:r>
            <w:r w:rsidRPr="00500D6D">
              <w:rPr>
                <w:lang w:val="en-US"/>
              </w:rPr>
              <w:t>Khadka and Uphoff</w:t>
            </w:r>
            <w:r w:rsidR="00040D7A">
              <w:rPr>
                <w:lang w:val="en-US"/>
              </w:rPr>
              <w:t xml:space="preserve">, </w:t>
            </w:r>
            <w:r w:rsidRPr="00500D6D">
              <w:rPr>
                <w:lang w:val="en-US"/>
              </w:rPr>
              <w:t xml:space="preserve">2019). Control plants did not undergo </w:t>
            </w:r>
            <w:r w:rsidRPr="00500D6D">
              <w:rPr>
                <w:i/>
                <w:lang w:val="en-US"/>
              </w:rPr>
              <w:t>Trichoderma</w:t>
            </w:r>
            <w:r w:rsidRPr="00500D6D">
              <w:rPr>
                <w:lang w:val="en-US"/>
              </w:rPr>
              <w:t xml:space="preserve"> inoculation. </w:t>
            </w:r>
            <w:r w:rsidR="00485FEF" w:rsidRPr="008137D0">
              <w:t xml:space="preserve">After that, the seedlings were cultivated in </w:t>
            </w:r>
            <w:r w:rsidR="00485FEF">
              <w:t xml:space="preserve">plastic </w:t>
            </w:r>
            <w:r w:rsidR="00485FEF" w:rsidRPr="008137D0">
              <w:t>pot</w:t>
            </w:r>
            <w:r w:rsidR="00485FEF">
              <w:t>s</w:t>
            </w:r>
            <w:r w:rsidR="00485FEF" w:rsidRPr="008137D0">
              <w:t xml:space="preserve"> under </w:t>
            </w:r>
            <w:r w:rsidR="00485FEF">
              <w:t xml:space="preserve">a </w:t>
            </w:r>
            <w:r w:rsidR="00485FEF" w:rsidRPr="008137D0">
              <w:t xml:space="preserve">controlled greenhouse environment  to monitor the </w:t>
            </w:r>
            <w:r w:rsidR="00485FEF" w:rsidRPr="008137D0">
              <w:rPr>
                <w:bCs/>
              </w:rPr>
              <w:t>growth</w:t>
            </w:r>
            <w:r w:rsidR="00485FEF" w:rsidRPr="008137D0">
              <w:t xml:space="preserve"> of the rice plants during </w:t>
            </w:r>
            <w:r w:rsidR="00485FEF">
              <w:t xml:space="preserve">the </w:t>
            </w:r>
            <w:r w:rsidR="00485FEF" w:rsidRPr="008137D0">
              <w:t>vegetative phase for a period of 60 days.</w:t>
            </w:r>
            <w:r w:rsidR="00485FEF" w:rsidRPr="008137D0">
              <w:rPr>
                <w:b/>
              </w:rPr>
              <w:t xml:space="preserve"> </w:t>
            </w:r>
            <w:r w:rsidR="00485FEF" w:rsidRPr="008137D0">
              <w:rPr>
                <w:rFonts w:eastAsia="Times New Roman"/>
                <w:snapToGrid w:val="0"/>
                <w:color w:val="000000"/>
                <w:lang w:eastAsia="de-DE" w:bidi="en-US"/>
              </w:rPr>
              <w:t xml:space="preserve">This experiment utilized a completely randomized design with 31 treatments, consisting of 30 different isolates of </w:t>
            </w:r>
            <w:r w:rsidR="00485FEF" w:rsidRPr="008137D0">
              <w:rPr>
                <w:rFonts w:eastAsia="Times New Roman"/>
                <w:i/>
                <w:iCs/>
                <w:snapToGrid w:val="0"/>
                <w:color w:val="000000"/>
                <w:lang w:eastAsia="de-DE" w:bidi="en-US"/>
              </w:rPr>
              <w:t>Trichoderma</w:t>
            </w:r>
            <w:r w:rsidR="00485FEF" w:rsidRPr="008137D0">
              <w:rPr>
                <w:rFonts w:eastAsia="Times New Roman"/>
                <w:snapToGrid w:val="0"/>
                <w:color w:val="000000"/>
                <w:lang w:eastAsia="de-DE" w:bidi="en-US"/>
              </w:rPr>
              <w:t xml:space="preserve"> and a control group without </w:t>
            </w:r>
            <w:r w:rsidR="00485FEF" w:rsidRPr="008137D0">
              <w:rPr>
                <w:rFonts w:eastAsia="Times New Roman"/>
                <w:i/>
                <w:iCs/>
                <w:snapToGrid w:val="0"/>
                <w:color w:val="000000"/>
                <w:lang w:eastAsia="de-DE" w:bidi="en-US"/>
              </w:rPr>
              <w:t>Trichoderma</w:t>
            </w:r>
            <w:r w:rsidR="00485FEF" w:rsidRPr="008137D0">
              <w:rPr>
                <w:rFonts w:eastAsia="Times New Roman"/>
                <w:snapToGrid w:val="0"/>
                <w:color w:val="000000"/>
                <w:lang w:eastAsia="de-DE" w:bidi="en-US"/>
              </w:rPr>
              <w:t xml:space="preserve"> inoculation. The experiment was conducted with </w:t>
            </w:r>
            <w:r w:rsidR="00485FEF">
              <w:rPr>
                <w:rFonts w:eastAsia="Times New Roman"/>
                <w:snapToGrid w:val="0"/>
                <w:color w:val="000000"/>
                <w:lang w:eastAsia="de-DE" w:bidi="en-US"/>
              </w:rPr>
              <w:t>four</w:t>
            </w:r>
            <w:r w:rsidR="00485FEF" w:rsidRPr="008137D0">
              <w:rPr>
                <w:rFonts w:eastAsia="Times New Roman"/>
                <w:snapToGrid w:val="0"/>
                <w:color w:val="000000"/>
                <w:lang w:eastAsia="de-DE" w:bidi="en-US"/>
              </w:rPr>
              <w:t xml:space="preserve"> replications. </w:t>
            </w:r>
            <w:r w:rsidR="00485FEF" w:rsidRPr="008137D0">
              <w:t>The planting medium composition was the same as</w:t>
            </w:r>
            <w:r w:rsidR="00485FEF">
              <w:t xml:space="preserve"> in</w:t>
            </w:r>
            <w:r w:rsidR="00485FEF" w:rsidRPr="008137D0">
              <w:t xml:space="preserve"> the previous experiment. The 2 kg of soil was put into a plastic pot with a diameter of 20 cm</w:t>
            </w:r>
            <w:r w:rsidRPr="00500D6D">
              <w:rPr>
                <w:lang w:val="en-US"/>
              </w:rPr>
              <w:t xml:space="preserve"> (Doni et al. 2014). </w:t>
            </w:r>
          </w:p>
          <w:p w14:paraId="42778F1D" w14:textId="77777777" w:rsidR="00485FEF" w:rsidRPr="003C5111" w:rsidRDefault="00485FEF" w:rsidP="00485FEF">
            <w:pPr>
              <w:jc w:val="both"/>
              <w:cnfStyle w:val="000000100000" w:firstRow="0" w:lastRow="0" w:firstColumn="0" w:lastColumn="0" w:oddVBand="0" w:evenVBand="0" w:oddHBand="1" w:evenHBand="0" w:firstRowFirstColumn="0" w:firstRowLastColumn="0" w:lastRowFirstColumn="0" w:lastRowLastColumn="0"/>
              <w:rPr>
                <w:lang w:val="en-US"/>
              </w:rPr>
            </w:pPr>
          </w:p>
        </w:tc>
      </w:tr>
      <w:tr w:rsidR="00D5296E" w14:paraId="25D05F4A" w14:textId="77777777" w:rsidTr="00853292">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249A35A4" w14:textId="77777777" w:rsidR="00D5296E" w:rsidRDefault="00D5296E" w:rsidP="000C5D97">
            <w:pPr>
              <w:rPr>
                <w:lang w:val="en-US"/>
              </w:rPr>
            </w:pPr>
            <w:r w:rsidRPr="00D5296E">
              <w:rPr>
                <w:lang w:val="en-US"/>
              </w:rPr>
              <w:lastRenderedPageBreak/>
              <w:t>Measurement of rice growth</w:t>
            </w:r>
          </w:p>
        </w:tc>
        <w:tc>
          <w:tcPr>
            <w:tcW w:w="8702" w:type="dxa"/>
            <w:shd w:val="clear" w:color="auto" w:fill="FFFFFF" w:themeFill="background1"/>
          </w:tcPr>
          <w:p w14:paraId="4B08A5E0" w14:textId="77777777" w:rsidR="00D5296E"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The growth parameters were measured at 60 days after planting. The measurement of plant height</w:t>
            </w:r>
            <w:r w:rsidR="00C0546F">
              <w:rPr>
                <w:lang w:val="en-US"/>
              </w:rPr>
              <w:t xml:space="preserve"> (cm)</w:t>
            </w:r>
            <w:r w:rsidRPr="003C5111">
              <w:rPr>
                <w:lang w:val="en-US"/>
              </w:rPr>
              <w:t xml:space="preserve"> is taken from the plant's base to the apex of the highest leaf (Awala et al. 2021). The leaf count was immediately assessed for each treatment. In order to determine the fresh weight (g) of the rice plant, it is meticulously detached from the soil and thereafter measured using a digital scale. The dry weight</w:t>
            </w:r>
            <w:r w:rsidR="00C0546F">
              <w:rPr>
                <w:lang w:val="en-US"/>
              </w:rPr>
              <w:t xml:space="preserve"> (g)</w:t>
            </w:r>
            <w:r w:rsidRPr="003C5111">
              <w:rPr>
                <w:lang w:val="en-US"/>
              </w:rPr>
              <w:t xml:space="preserve"> was determined by extracting the whole plant, dividing the roots and branches, enveloping it in paper, and subjecting it to a temperature of 65 °C in an oven for a duration of three days (Mishra et al. 2019).</w:t>
            </w:r>
          </w:p>
        </w:tc>
      </w:tr>
      <w:tr w:rsidR="00D5296E" w14:paraId="1FBC6F17" w14:textId="77777777" w:rsidTr="008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45E4565A" w14:textId="77777777" w:rsidR="00D5296E" w:rsidRDefault="004253A7" w:rsidP="000C5D97">
            <w:pPr>
              <w:rPr>
                <w:lang w:val="en-US"/>
              </w:rPr>
            </w:pPr>
            <w:r>
              <w:rPr>
                <w:lang w:val="en-US"/>
              </w:rPr>
              <w:t>Measurement of c</w:t>
            </w:r>
            <w:r w:rsidR="00D5296E" w:rsidRPr="00D5296E">
              <w:rPr>
                <w:lang w:val="en-US"/>
              </w:rPr>
              <w:t xml:space="preserve">hlorophyll content </w:t>
            </w:r>
          </w:p>
        </w:tc>
        <w:tc>
          <w:tcPr>
            <w:tcW w:w="8702" w:type="dxa"/>
            <w:shd w:val="clear" w:color="auto" w:fill="FFFFFF" w:themeFill="background1"/>
          </w:tcPr>
          <w:p w14:paraId="63D18493" w14:textId="77777777" w:rsidR="003C5111" w:rsidRPr="003C5111" w:rsidRDefault="003C5111" w:rsidP="000C5D97">
            <w:pPr>
              <w:jc w:val="both"/>
              <w:cnfStyle w:val="000000100000" w:firstRow="0" w:lastRow="0" w:firstColumn="0" w:lastColumn="0" w:oddVBand="0" w:evenVBand="0" w:oddHBand="1" w:evenHBand="0" w:firstRowFirstColumn="0" w:firstRowLastColumn="0" w:lastRowFirstColumn="0" w:lastRowLastColumn="0"/>
              <w:rPr>
                <w:lang w:val="en-US"/>
              </w:rPr>
            </w:pPr>
            <w:r w:rsidRPr="003C5111">
              <w:rPr>
                <w:lang w:val="en-US"/>
              </w:rPr>
              <w:t xml:space="preserve">Chlorophyll content was measured 60 days after planting. Chlorophyll content was determined using a spectrophotometric method. A total of 0.1 g of leaves that had been cut ~2 mm was put into a test tube to which 20 mL of 80% acetone had been added. This mixture was homogenized with a vortex, then incubated for 48 hours in the dark condition. Chlorophyll </w:t>
            </w:r>
            <w:r w:rsidRPr="003C5111">
              <w:rPr>
                <w:i/>
                <w:lang w:val="en-US"/>
              </w:rPr>
              <w:t>a</w:t>
            </w:r>
            <w:r w:rsidRPr="003C5111">
              <w:rPr>
                <w:lang w:val="en-US"/>
              </w:rPr>
              <w:t xml:space="preserve"> and chlorophyll </w:t>
            </w:r>
            <w:r w:rsidRPr="003C5111">
              <w:rPr>
                <w:i/>
                <w:lang w:val="en-US"/>
              </w:rPr>
              <w:t>b</w:t>
            </w:r>
            <w:r w:rsidRPr="003C5111">
              <w:rPr>
                <w:lang w:val="en-US"/>
              </w:rPr>
              <w:t xml:space="preserve"> concentrations were analyzed using a spectrophotometer at wavelengths λ 663 nm and λ 645 nm. Chlorophyll </w:t>
            </w:r>
            <w:r w:rsidRPr="003C5111">
              <w:rPr>
                <w:i/>
                <w:lang w:val="en-US"/>
              </w:rPr>
              <w:t>a</w:t>
            </w:r>
            <w:r w:rsidRPr="003C5111">
              <w:rPr>
                <w:lang w:val="en-US"/>
              </w:rPr>
              <w:t xml:space="preserve"> and </w:t>
            </w:r>
            <w:r w:rsidRPr="003C5111">
              <w:rPr>
                <w:i/>
                <w:lang w:val="en-US"/>
              </w:rPr>
              <w:t>b</w:t>
            </w:r>
            <w:r w:rsidRPr="003C5111">
              <w:rPr>
                <w:lang w:val="en-US"/>
              </w:rPr>
              <w:t>, calculated according to the equation below, are expressed as mg/g leaf fresh weight (</w:t>
            </w:r>
            <w:proofErr w:type="spellStart"/>
            <w:r w:rsidRPr="003C5111">
              <w:rPr>
                <w:lang w:val="en-US"/>
              </w:rPr>
              <w:t>Shibghatallah</w:t>
            </w:r>
            <w:proofErr w:type="spellEnd"/>
            <w:r w:rsidRPr="003C5111">
              <w:rPr>
                <w:lang w:val="en-US"/>
              </w:rPr>
              <w:t xml:space="preserve"> et al. 2013).</w:t>
            </w:r>
          </w:p>
          <w:p w14:paraId="77D7D8FC" w14:textId="77777777" w:rsidR="003C5111" w:rsidRPr="003C5111" w:rsidRDefault="003C5111" w:rsidP="003C5111">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sidRPr="003C5111">
              <w:rPr>
                <w:lang w:val="en-US"/>
              </w:rPr>
              <w:t>C</w:t>
            </w:r>
            <w:r w:rsidRPr="003C5111">
              <w:rPr>
                <w:vertAlign w:val="subscript"/>
                <w:lang w:val="en-US"/>
              </w:rPr>
              <w:t>chl</w:t>
            </w:r>
            <w:proofErr w:type="spellEnd"/>
            <w:r w:rsidRPr="003C5111">
              <w:rPr>
                <w:vertAlign w:val="subscript"/>
                <w:lang w:val="en-US"/>
              </w:rPr>
              <w:t>−</w:t>
            </w:r>
            <w:r w:rsidRPr="003C5111">
              <w:rPr>
                <w:i/>
                <w:vertAlign w:val="subscript"/>
                <w:lang w:val="en-US"/>
              </w:rPr>
              <w:t xml:space="preserve">a </w:t>
            </w:r>
            <w:r w:rsidRPr="003C5111">
              <w:rPr>
                <w:lang w:val="en-US"/>
              </w:rPr>
              <w:t>= 12,7 A</w:t>
            </w:r>
            <w:r w:rsidRPr="003C5111">
              <w:rPr>
                <w:vertAlign w:val="subscript"/>
                <w:lang w:val="en-US"/>
              </w:rPr>
              <w:t>663</w:t>
            </w:r>
            <w:r w:rsidRPr="003C5111">
              <w:rPr>
                <w:lang w:val="en-US"/>
              </w:rPr>
              <w:t>−2,69 A</w:t>
            </w:r>
            <w:r w:rsidRPr="003C5111">
              <w:rPr>
                <w:vertAlign w:val="subscript"/>
                <w:lang w:val="en-US"/>
              </w:rPr>
              <w:t>645</w:t>
            </w:r>
          </w:p>
          <w:p w14:paraId="2EAC36BB" w14:textId="77777777" w:rsidR="00D5296E" w:rsidRPr="003C5111" w:rsidRDefault="003C5111" w:rsidP="003C5111">
            <w:pPr>
              <w:jc w:val="center"/>
              <w:cnfStyle w:val="000000100000" w:firstRow="0" w:lastRow="0" w:firstColumn="0" w:lastColumn="0" w:oddVBand="0" w:evenVBand="0" w:oddHBand="1" w:evenHBand="0" w:firstRowFirstColumn="0" w:firstRowLastColumn="0" w:lastRowFirstColumn="0" w:lastRowLastColumn="0"/>
              <w:rPr>
                <w:vertAlign w:val="subscript"/>
                <w:lang w:val="en-US"/>
              </w:rPr>
            </w:pPr>
            <w:proofErr w:type="spellStart"/>
            <w:r w:rsidRPr="003C5111">
              <w:rPr>
                <w:lang w:val="en-US"/>
              </w:rPr>
              <w:t>C</w:t>
            </w:r>
            <w:r w:rsidRPr="003C5111">
              <w:rPr>
                <w:vertAlign w:val="subscript"/>
                <w:lang w:val="en-US"/>
              </w:rPr>
              <w:t>chl</w:t>
            </w:r>
            <w:proofErr w:type="spellEnd"/>
            <w:r w:rsidRPr="003C5111">
              <w:rPr>
                <w:vertAlign w:val="subscript"/>
                <w:lang w:val="en-US"/>
              </w:rPr>
              <w:t>−</w:t>
            </w:r>
            <w:r w:rsidRPr="003C5111">
              <w:rPr>
                <w:i/>
                <w:vertAlign w:val="subscript"/>
                <w:lang w:val="en-US"/>
              </w:rPr>
              <w:t>b</w:t>
            </w:r>
            <w:r w:rsidRPr="003C5111">
              <w:rPr>
                <w:vertAlign w:val="subscript"/>
                <w:lang w:val="en-US"/>
              </w:rPr>
              <w:t xml:space="preserve"> </w:t>
            </w:r>
            <w:r w:rsidRPr="003C5111">
              <w:rPr>
                <w:lang w:val="en-US"/>
              </w:rPr>
              <w:t>= 22,9 A</w:t>
            </w:r>
            <w:r w:rsidRPr="003C5111">
              <w:rPr>
                <w:vertAlign w:val="subscript"/>
                <w:lang w:val="en-US"/>
              </w:rPr>
              <w:t>645</w:t>
            </w:r>
            <w:r w:rsidRPr="003C5111">
              <w:rPr>
                <w:lang w:val="en-US"/>
              </w:rPr>
              <w:t>−4,68 A</w:t>
            </w:r>
            <w:r w:rsidRPr="003C5111">
              <w:rPr>
                <w:vertAlign w:val="subscript"/>
                <w:lang w:val="en-US"/>
              </w:rPr>
              <w:t>663</w:t>
            </w:r>
          </w:p>
        </w:tc>
      </w:tr>
      <w:tr w:rsidR="00D5296E" w14:paraId="7F8293A5" w14:textId="77777777" w:rsidTr="00853292">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1AFE7FF4" w14:textId="77777777" w:rsidR="00D5296E" w:rsidRDefault="004253A7" w:rsidP="00455333">
            <w:pPr>
              <w:jc w:val="both"/>
              <w:rPr>
                <w:lang w:val="en-US"/>
              </w:rPr>
            </w:pPr>
            <w:r>
              <w:rPr>
                <w:lang w:val="en-US"/>
              </w:rPr>
              <w:t>Measurement of s</w:t>
            </w:r>
            <w:r w:rsidR="00D5296E">
              <w:rPr>
                <w:lang w:val="en-US"/>
              </w:rPr>
              <w:t>tomatal</w:t>
            </w:r>
            <w:r w:rsidR="00D5296E" w:rsidRPr="00D5296E">
              <w:rPr>
                <w:lang w:val="en-US"/>
              </w:rPr>
              <w:t xml:space="preserve"> density</w:t>
            </w:r>
          </w:p>
        </w:tc>
        <w:tc>
          <w:tcPr>
            <w:tcW w:w="8702" w:type="dxa"/>
            <w:shd w:val="clear" w:color="auto" w:fill="FFFFFF" w:themeFill="background1"/>
          </w:tcPr>
          <w:p w14:paraId="307F68C4" w14:textId="77777777" w:rsidR="003C5111" w:rsidRP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To obtain stomata imprints, a thin layer of transparent nail polish was applied to an area of ~5 cm</w:t>
            </w:r>
            <w:r w:rsidRPr="003C5111">
              <w:rPr>
                <w:vertAlign w:val="superscript"/>
                <w:lang w:val="en-US"/>
              </w:rPr>
              <w:t>2</w:t>
            </w:r>
            <w:r w:rsidRPr="003C5111">
              <w:rPr>
                <w:lang w:val="en-US"/>
              </w:rPr>
              <w:t xml:space="preserve"> from the adaxial side of the flag leaf and allowed to dry before being peeled off using transparent tape (</w:t>
            </w:r>
            <w:proofErr w:type="spellStart"/>
            <w:r w:rsidRPr="003C5111">
              <w:rPr>
                <w:lang w:val="en-US"/>
              </w:rPr>
              <w:t>Kusumi</w:t>
            </w:r>
            <w:proofErr w:type="spellEnd"/>
            <w:r w:rsidRPr="003C5111">
              <w:rPr>
                <w:lang w:val="en-US"/>
              </w:rPr>
              <w:t xml:space="preserve"> 2013). The stomata were then observed under a microscope with a magnification of 400x. The diameter (2r) of the field of view is measured using a micrometer. The area of the field of view is then calculated based on the formula: A = 3.14 × r</w:t>
            </w:r>
            <w:r w:rsidRPr="003C5111">
              <w:rPr>
                <w:vertAlign w:val="superscript"/>
                <w:lang w:val="en-US"/>
              </w:rPr>
              <w:t>2</w:t>
            </w:r>
            <w:r w:rsidRPr="003C5111">
              <w:rPr>
                <w:lang w:val="en-US"/>
              </w:rPr>
              <w:t>, where A is the area and r is the radius (Doni et al. 2017). Stomata density is calculated based on the following formula (</w:t>
            </w:r>
            <w:proofErr w:type="spellStart"/>
            <w:r w:rsidRPr="003C5111">
              <w:rPr>
                <w:lang w:val="en-US"/>
              </w:rPr>
              <w:t>Fanourakis</w:t>
            </w:r>
            <w:proofErr w:type="spellEnd"/>
            <w:r w:rsidRPr="003C5111">
              <w:rPr>
                <w:lang w:val="en-US"/>
              </w:rPr>
              <w:t xml:space="preserve"> et al. 2019):</w:t>
            </w:r>
          </w:p>
          <w:p w14:paraId="22E2F8BA" w14:textId="77777777" w:rsidR="003C5111" w:rsidRPr="003C5111" w:rsidRDefault="003C5111" w:rsidP="003C5111">
            <w:pPr>
              <w:jc w:val="center"/>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Stomatal density (stomata/mm</w:t>
            </w:r>
            <w:r w:rsidRPr="003C5111">
              <w:rPr>
                <w:vertAlign w:val="superscript"/>
                <w:lang w:val="en-US"/>
              </w:rPr>
              <w:t>2</w:t>
            </w:r>
            <w:r w:rsidRPr="003C5111">
              <w:rPr>
                <w:lang w:val="en-US"/>
              </w:rPr>
              <w:t xml:space="preserve">) =  </w:t>
            </w:r>
            <m:oMath>
              <m:f>
                <m:fPr>
                  <m:ctrlPr>
                    <w:rPr>
                      <w:rFonts w:ascii="Cambria Math" w:hAnsi="Cambria Math"/>
                      <w:i/>
                      <w:lang w:val="en-US"/>
                    </w:rPr>
                  </m:ctrlPr>
                </m:fPr>
                <m:num>
                  <m:r>
                    <m:rPr>
                      <m:sty m:val="p"/>
                    </m:rPr>
                    <w:rPr>
                      <w:rFonts w:ascii="Cambria Math" w:hAnsi="Cambria Math"/>
                      <w:lang w:val="en-US"/>
                    </w:rPr>
                    <m:t>number of stomata</m:t>
                  </m:r>
                </m:num>
                <m:den>
                  <m:r>
                    <m:rPr>
                      <m:sty m:val="p"/>
                    </m:rPr>
                    <w:rPr>
                      <w:rFonts w:ascii="Cambria Math" w:hAnsi="Cambria Math"/>
                      <w:lang w:val="en-US"/>
                    </w:rPr>
                    <m:t>field of view area</m:t>
                  </m:r>
                </m:den>
              </m:f>
            </m:oMath>
          </w:p>
          <w:p w14:paraId="786CC305" w14:textId="77777777" w:rsidR="00D5296E" w:rsidRDefault="00D5296E">
            <w:pPr>
              <w:cnfStyle w:val="000000000000" w:firstRow="0" w:lastRow="0" w:firstColumn="0" w:lastColumn="0" w:oddVBand="0" w:evenVBand="0" w:oddHBand="0" w:evenHBand="0" w:firstRowFirstColumn="0" w:firstRowLastColumn="0" w:lastRowFirstColumn="0" w:lastRowLastColumn="0"/>
              <w:rPr>
                <w:lang w:val="en-US"/>
              </w:rPr>
            </w:pPr>
          </w:p>
        </w:tc>
      </w:tr>
      <w:tr w:rsidR="00D5296E" w14:paraId="6A6DCB78" w14:textId="77777777" w:rsidTr="008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4F671275" w14:textId="77777777" w:rsidR="00D5296E" w:rsidRPr="003C5111" w:rsidRDefault="004253A7" w:rsidP="000C5D97">
            <w:pPr>
              <w:rPr>
                <w:lang w:val="en-US"/>
              </w:rPr>
            </w:pPr>
            <w:r w:rsidRPr="004253A7">
              <w:rPr>
                <w:lang w:val="en-US"/>
              </w:rPr>
              <w:t xml:space="preserve">Plant growth promoting traits of </w:t>
            </w:r>
            <w:r w:rsidRPr="004253A7">
              <w:rPr>
                <w:i/>
                <w:iCs/>
                <w:lang w:val="en-US"/>
              </w:rPr>
              <w:t>Trichoderma</w:t>
            </w:r>
            <w:r w:rsidR="003C5111">
              <w:rPr>
                <w:lang w:val="en-US"/>
              </w:rPr>
              <w:t>: phosphatase activity</w:t>
            </w:r>
          </w:p>
        </w:tc>
        <w:tc>
          <w:tcPr>
            <w:tcW w:w="8702" w:type="dxa"/>
            <w:shd w:val="clear" w:color="auto" w:fill="FFFFFF" w:themeFill="background1"/>
          </w:tcPr>
          <w:p w14:paraId="403BF389" w14:textId="77777777" w:rsidR="003C5111" w:rsidRPr="003C5111" w:rsidRDefault="003C5111" w:rsidP="003C5111">
            <w:pPr>
              <w:jc w:val="both"/>
              <w:cnfStyle w:val="000000100000" w:firstRow="0" w:lastRow="0" w:firstColumn="0" w:lastColumn="0" w:oddVBand="0" w:evenVBand="0" w:oddHBand="1" w:evenHBand="0" w:firstRowFirstColumn="0" w:firstRowLastColumn="0" w:lastRowFirstColumn="0" w:lastRowLastColumn="0"/>
              <w:rPr>
                <w:b/>
                <w:lang w:val="en-US"/>
              </w:rPr>
            </w:pPr>
            <w:r w:rsidRPr="003C5111">
              <w:rPr>
                <w:lang w:val="en-US"/>
              </w:rPr>
              <w:t xml:space="preserve">The activity of the phosphatase enzyme was assessed using the method developed by Tabatabai and Bremner (1969). The mineralization of phosphorus (P) was assessed in 100 mL Erlenmeyer </w:t>
            </w:r>
            <w:r w:rsidRPr="003C5111">
              <w:rPr>
                <w:lang w:val="en-US"/>
              </w:rPr>
              <w:lastRenderedPageBreak/>
              <w:t xml:space="preserve">flasks, each containing 40 mL of </w:t>
            </w:r>
            <w:proofErr w:type="spellStart"/>
            <w:r w:rsidRPr="003C5111">
              <w:rPr>
                <w:lang w:val="en-US"/>
              </w:rPr>
              <w:t>Czapek's</w:t>
            </w:r>
            <w:proofErr w:type="spellEnd"/>
            <w:r w:rsidRPr="003C5111">
              <w:rPr>
                <w:lang w:val="en-US"/>
              </w:rPr>
              <w:t xml:space="preserve"> Dox broth for each fungal culture. The flask contents underwent autoclaving, cooling, and subsequent inoculation with 0.1 mL of a spore suspension derived from a 5-day-old broth culture of the appropriate fungal strain, each done separately. Additionally, control samples that were subjected to autoclaving but not infected were added for comparison. The flasks were incubated at a temperature of 30 </w:t>
            </w:r>
            <w:r w:rsidRPr="003C5111">
              <w:rPr>
                <w:lang w:val="en-US"/>
              </w:rPr>
              <w:sym w:font="Symbol" w:char="F0B0"/>
            </w:r>
            <w:r w:rsidRPr="003C5111">
              <w:rPr>
                <w:lang w:val="en-US"/>
              </w:rPr>
              <w:t xml:space="preserve">C. After seven days of incubation, the contents of the flask were filtered using Whatman No. 42 filter paper. The filtrates were utilized to measure the activity of extracellular acid phosphatase. The quantification of extracellular acid phosphatase in the culture filtrate was performed by utilizing acetate buffer (pH 5.4), substrate, </w:t>
            </w:r>
            <w:r w:rsidRPr="003C5111">
              <w:rPr>
                <w:i/>
                <w:iCs/>
                <w:lang w:val="en-US"/>
              </w:rPr>
              <w:t>p</w:t>
            </w:r>
            <w:r w:rsidRPr="003C5111">
              <w:rPr>
                <w:lang w:val="en-US"/>
              </w:rPr>
              <w:t xml:space="preserve">-nitrophenyl phosphate (pNPP), and 0.5 mL of the culture filtrate. The reaction mixture was subjected to incubation at a temperature of 37 </w:t>
            </w:r>
            <w:r w:rsidRPr="003C5111">
              <w:rPr>
                <w:lang w:val="en-US"/>
              </w:rPr>
              <w:sym w:font="Symbol" w:char="F0B0"/>
            </w:r>
            <w:r w:rsidRPr="003C5111">
              <w:rPr>
                <w:lang w:val="en-US"/>
              </w:rPr>
              <w:t>C for a duration of one hour. Subsequently, acid phosphatase activity was measured spectrophotometrically by monitoring the release of para-nitrophenol from pNPP at a wavelength of 400 nm using a UV–vis spectrophotometer.</w:t>
            </w:r>
          </w:p>
          <w:p w14:paraId="56FAB139" w14:textId="77777777" w:rsidR="00D5296E" w:rsidRDefault="00D5296E" w:rsidP="003C5111">
            <w:pPr>
              <w:jc w:val="both"/>
              <w:cnfStyle w:val="000000100000" w:firstRow="0" w:lastRow="0" w:firstColumn="0" w:lastColumn="0" w:oddVBand="0" w:evenVBand="0" w:oddHBand="1" w:evenHBand="0" w:firstRowFirstColumn="0" w:firstRowLastColumn="0" w:lastRowFirstColumn="0" w:lastRowLastColumn="0"/>
              <w:rPr>
                <w:lang w:val="en-US"/>
              </w:rPr>
            </w:pPr>
          </w:p>
        </w:tc>
      </w:tr>
      <w:tr w:rsidR="003C5111" w14:paraId="3334ABAB" w14:textId="77777777" w:rsidTr="00853292">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000000"/>
            </w:tcBorders>
            <w:shd w:val="clear" w:color="auto" w:fill="FFFFFF" w:themeFill="background1"/>
          </w:tcPr>
          <w:p w14:paraId="1123ACCA" w14:textId="77777777" w:rsidR="003C5111" w:rsidRPr="004253A7" w:rsidRDefault="003C5111" w:rsidP="000C5D97">
            <w:pPr>
              <w:rPr>
                <w:lang w:val="en-US"/>
              </w:rPr>
            </w:pPr>
            <w:r w:rsidRPr="004253A7">
              <w:rPr>
                <w:lang w:val="en-US"/>
              </w:rPr>
              <w:lastRenderedPageBreak/>
              <w:t xml:space="preserve">Plant growth promoting traits of </w:t>
            </w:r>
            <w:r w:rsidRPr="004253A7">
              <w:rPr>
                <w:i/>
                <w:iCs/>
                <w:lang w:val="en-US"/>
              </w:rPr>
              <w:t>Trichoderma</w:t>
            </w:r>
            <w:r>
              <w:rPr>
                <w:lang w:val="en-US"/>
              </w:rPr>
              <w:t>: IAA production</w:t>
            </w:r>
          </w:p>
        </w:tc>
        <w:tc>
          <w:tcPr>
            <w:tcW w:w="8702" w:type="dxa"/>
            <w:tcBorders>
              <w:bottom w:val="single" w:sz="4" w:space="0" w:color="000000"/>
            </w:tcBorders>
            <w:shd w:val="clear" w:color="auto" w:fill="FFFFFF" w:themeFill="background1"/>
          </w:tcPr>
          <w:p w14:paraId="20A86DF8" w14:textId="77777777" w:rsidR="003C5111" w:rsidRP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r w:rsidRPr="003C5111">
              <w:rPr>
                <w:i/>
                <w:lang w:val="en-US"/>
              </w:rPr>
              <w:t>Trichoderma</w:t>
            </w:r>
            <w:r w:rsidRPr="003C5111">
              <w:rPr>
                <w:lang w:val="en-US"/>
              </w:rPr>
              <w:t xml:space="preserve"> isolates grown in potato dextrose broth (PDB) media with the addition of L-Tryptophan to determine the ability to produce IAA based on the modified method by Mehmood et al. (2018). </w:t>
            </w:r>
            <w:r w:rsidRPr="003C5111">
              <w:rPr>
                <w:i/>
                <w:lang w:val="en-US"/>
              </w:rPr>
              <w:t>Trichoderma</w:t>
            </w:r>
            <w:r w:rsidRPr="003C5111">
              <w:rPr>
                <w:lang w:val="en-US"/>
              </w:rPr>
              <w:t xml:space="preserve"> spp. inoculated in 5 mL of PDB which had been added with L-tryptophan with a concentration of 500 µg/</w:t>
            </w:r>
            <w:proofErr w:type="spellStart"/>
            <w:r w:rsidRPr="003C5111">
              <w:rPr>
                <w:lang w:val="en-US"/>
              </w:rPr>
              <w:t>mL.</w:t>
            </w:r>
            <w:proofErr w:type="spellEnd"/>
            <w:r w:rsidRPr="003C5111">
              <w:rPr>
                <w:lang w:val="en-US"/>
              </w:rPr>
              <w:t xml:space="preserve"> </w:t>
            </w:r>
            <w:r w:rsidRPr="003C5111">
              <w:rPr>
                <w:i/>
                <w:lang w:val="en-US"/>
              </w:rPr>
              <w:t>Trichoderma</w:t>
            </w:r>
            <w:r w:rsidRPr="003C5111">
              <w:rPr>
                <w:lang w:val="en-US"/>
              </w:rPr>
              <w:t xml:space="preserve"> was then incubated and homogenized with a shaker speed of 120 rpm for seven days in dark conditions at a temperature of 26°C. After seven days, </w:t>
            </w:r>
            <w:r w:rsidRPr="003C5111">
              <w:rPr>
                <w:i/>
                <w:lang w:val="en-US"/>
              </w:rPr>
              <w:t>Trichoderma</w:t>
            </w:r>
            <w:r w:rsidRPr="003C5111">
              <w:rPr>
                <w:lang w:val="en-US"/>
              </w:rPr>
              <w:t xml:space="preserve"> centrifuged at 3000 rpm for three minutes. Following that, 1 mL of the resulting supernatant was transferred into a sterile test tube. The supernatant was added with 2 mL of Salkowski's reagent and incubated for 30 minutes in dark conditions. As a control (without </w:t>
            </w:r>
            <w:r w:rsidRPr="003C5111">
              <w:rPr>
                <w:i/>
                <w:lang w:val="en-US"/>
              </w:rPr>
              <w:t>Trichoderma</w:t>
            </w:r>
            <w:r w:rsidRPr="003C5111">
              <w:rPr>
                <w:lang w:val="en-US"/>
              </w:rPr>
              <w:t xml:space="preserve"> inoculation), 1 mL of PDB medium was added with Salkowski's reagent. After incubation, positive results were obtained in the form of changes in color from pink to dark red and brownish in the mixture between the supernatant and Salkowski reagent, which indicates the potential for IAA production. Absorbance was measured using a UV-Vis spectrophotometer at a wavelength of 540 nm. The IAA concentration was calculated using the IAA standard curve (concentrations: 10, 25, 50, 100, 150, 200, 250, 300 µg/mL).</w:t>
            </w:r>
          </w:p>
          <w:p w14:paraId="788F797D" w14:textId="77777777" w:rsid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p>
        </w:tc>
      </w:tr>
      <w:tr w:rsidR="003C5111" w14:paraId="095C73BA" w14:textId="77777777" w:rsidTr="008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000000"/>
            </w:tcBorders>
            <w:shd w:val="clear" w:color="auto" w:fill="FFFFFF" w:themeFill="background1"/>
          </w:tcPr>
          <w:p w14:paraId="06AA9152" w14:textId="77777777" w:rsidR="003C5111" w:rsidRPr="004253A7" w:rsidRDefault="003C5111" w:rsidP="000C5D97">
            <w:pPr>
              <w:rPr>
                <w:lang w:val="en-US"/>
              </w:rPr>
            </w:pPr>
            <w:r w:rsidRPr="004253A7">
              <w:rPr>
                <w:lang w:val="en-US"/>
              </w:rPr>
              <w:t xml:space="preserve">Plant growth promoting traits of </w:t>
            </w:r>
            <w:r w:rsidRPr="004253A7">
              <w:rPr>
                <w:i/>
                <w:iCs/>
                <w:lang w:val="en-US"/>
              </w:rPr>
              <w:t>Trichoderma</w:t>
            </w:r>
            <w:r>
              <w:rPr>
                <w:lang w:val="en-US"/>
              </w:rPr>
              <w:t>: ammonia production</w:t>
            </w:r>
          </w:p>
        </w:tc>
        <w:tc>
          <w:tcPr>
            <w:tcW w:w="8702" w:type="dxa"/>
            <w:tcBorders>
              <w:top w:val="single" w:sz="4" w:space="0" w:color="000000"/>
            </w:tcBorders>
            <w:shd w:val="clear" w:color="auto" w:fill="FFFFFF" w:themeFill="background1"/>
          </w:tcPr>
          <w:p w14:paraId="5895B43B" w14:textId="77777777" w:rsidR="003C5111" w:rsidRPr="003C5111" w:rsidRDefault="003C5111" w:rsidP="003C5111">
            <w:pPr>
              <w:jc w:val="both"/>
              <w:cnfStyle w:val="000000100000" w:firstRow="0" w:lastRow="0" w:firstColumn="0" w:lastColumn="0" w:oddVBand="0" w:evenVBand="0" w:oddHBand="1" w:evenHBand="0" w:firstRowFirstColumn="0" w:firstRowLastColumn="0" w:lastRowFirstColumn="0" w:lastRowLastColumn="0"/>
              <w:rPr>
                <w:lang w:val="en-US"/>
              </w:rPr>
            </w:pPr>
            <w:r w:rsidRPr="003C5111">
              <w:rPr>
                <w:lang w:val="en-US"/>
              </w:rPr>
              <w:t xml:space="preserve">Ammonia production was conducted via the colorimetric method as described by Chen et al. (2022), with some modifications. </w:t>
            </w:r>
            <w:r w:rsidRPr="003C5111">
              <w:rPr>
                <w:i/>
                <w:lang w:val="en-US"/>
              </w:rPr>
              <w:t>Trichoderma</w:t>
            </w:r>
            <w:r w:rsidRPr="003C5111">
              <w:rPr>
                <w:lang w:val="en-US"/>
              </w:rPr>
              <w:t xml:space="preserve"> was inoculated into 10 mL of peptone water. After incubation at 26 °C for seven days, the culture was centrifuged at 3500 rpm for 10 minutes. 1 mL of the supernatant was taken and then 1 mL of Nessler's reagent was added to the test tube which had previously been washed with ammonia-free water. The mixture was incubated at room temperature for 10 minutes then diluted with distilled water until the volume reached 10 </w:t>
            </w:r>
            <w:proofErr w:type="spellStart"/>
            <w:r w:rsidRPr="003C5111">
              <w:rPr>
                <w:lang w:val="en-US"/>
              </w:rPr>
              <w:t>mL.</w:t>
            </w:r>
            <w:proofErr w:type="spellEnd"/>
            <w:r w:rsidRPr="003C5111">
              <w:rPr>
                <w:lang w:val="en-US"/>
              </w:rPr>
              <w:t xml:space="preserve"> The color change to yellow indicates a positive result and the absorbance of the solution is measured </w:t>
            </w:r>
            <w:r w:rsidRPr="003C5111">
              <w:rPr>
                <w:lang w:val="en-US"/>
              </w:rPr>
              <w:lastRenderedPageBreak/>
              <w:t>using a UV-Vis spectrophotometer at a wavelength of 450 nm. The ammonia concentration was calculated using the ammonium sulfate standard curve (concentrations: 10, 15, 20, 25, 30, 35, 40 µg/mL).</w:t>
            </w:r>
          </w:p>
          <w:p w14:paraId="0230132E" w14:textId="77777777" w:rsidR="003C5111" w:rsidRDefault="003C5111" w:rsidP="003C5111">
            <w:pPr>
              <w:jc w:val="both"/>
              <w:cnfStyle w:val="000000100000" w:firstRow="0" w:lastRow="0" w:firstColumn="0" w:lastColumn="0" w:oddVBand="0" w:evenVBand="0" w:oddHBand="1" w:evenHBand="0" w:firstRowFirstColumn="0" w:firstRowLastColumn="0" w:lastRowFirstColumn="0" w:lastRowLastColumn="0"/>
              <w:rPr>
                <w:lang w:val="en-US"/>
              </w:rPr>
            </w:pPr>
          </w:p>
        </w:tc>
      </w:tr>
      <w:tr w:rsidR="003C5111" w14:paraId="4DA73445" w14:textId="77777777" w:rsidTr="00853292">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3AD059E6" w14:textId="77777777" w:rsidR="003C5111" w:rsidRPr="004253A7" w:rsidRDefault="003C5111" w:rsidP="000C5D97">
            <w:pPr>
              <w:rPr>
                <w:lang w:val="en-US"/>
              </w:rPr>
            </w:pPr>
            <w:r w:rsidRPr="004253A7">
              <w:rPr>
                <w:lang w:val="en-US"/>
              </w:rPr>
              <w:lastRenderedPageBreak/>
              <w:t xml:space="preserve">Plant growth promoting traits of </w:t>
            </w:r>
            <w:r w:rsidRPr="004253A7">
              <w:rPr>
                <w:i/>
                <w:iCs/>
                <w:lang w:val="en-US"/>
              </w:rPr>
              <w:t>Trichoderma</w:t>
            </w:r>
            <w:r>
              <w:rPr>
                <w:lang w:val="en-US"/>
              </w:rPr>
              <w:t>: HCN production</w:t>
            </w:r>
          </w:p>
        </w:tc>
        <w:tc>
          <w:tcPr>
            <w:tcW w:w="8702" w:type="dxa"/>
            <w:shd w:val="clear" w:color="auto" w:fill="FFFFFF" w:themeFill="background1"/>
          </w:tcPr>
          <w:p w14:paraId="6615A748" w14:textId="77777777" w:rsidR="003C5111" w:rsidRP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r w:rsidRPr="003C5111">
              <w:rPr>
                <w:i/>
                <w:lang w:val="en-US"/>
              </w:rPr>
              <w:t>Trichoderma</w:t>
            </w:r>
            <w:r w:rsidRPr="003C5111">
              <w:rPr>
                <w:lang w:val="en-US"/>
              </w:rPr>
              <w:t xml:space="preserve"> inoculated on PDB medium supplemented with 4.4 g L</w:t>
            </w:r>
            <w:r w:rsidRPr="003C5111">
              <w:rPr>
                <w:vertAlign w:val="superscript"/>
                <w:lang w:val="en-US"/>
              </w:rPr>
              <w:t>-1</w:t>
            </w:r>
            <w:r w:rsidRPr="003C5111">
              <w:rPr>
                <w:lang w:val="en-US"/>
              </w:rPr>
              <w:t xml:space="preserve"> glycine in a test tube. White filter paper was cut in strips and soaked in picric acid solution (0.5% picric acid in 2% (w/v) sodium carbonate). A sheet of filter paper is placed on the wall of the test tube. The media surface was sealed with parafilm and incubated for seven days at 26°C. After incubation, HCN production was observed by changing the color of the filter paper from yellow to light brown or reddish brown which indicated HCN production (Meera and </w:t>
            </w:r>
            <w:proofErr w:type="spellStart"/>
            <w:r w:rsidRPr="003C5111">
              <w:rPr>
                <w:lang w:val="en-US"/>
              </w:rPr>
              <w:t>Balabaskar</w:t>
            </w:r>
            <w:proofErr w:type="spellEnd"/>
            <w:r w:rsidRPr="003C5111">
              <w:rPr>
                <w:lang w:val="en-US"/>
              </w:rPr>
              <w:t xml:space="preserve"> 2012). The discolored filter paper was soaked in 10 mL of distilled water for 30 minutes. using a UV-Vis spectrophotometer by measuring absorbance at a wavelength of 510 nm. Quantitative measurement of HCN concentration was carried out by calculating the total cyanogen content using the following formula (Vijayan et al. 2015):</w:t>
            </w:r>
          </w:p>
          <w:p w14:paraId="67BF64CC" w14:textId="77777777" w:rsidR="003C5111" w:rsidRPr="003C5111" w:rsidRDefault="003C5111" w:rsidP="003C5111">
            <w:pPr>
              <w:jc w:val="center"/>
              <w:cnfStyle w:val="000000000000" w:firstRow="0" w:lastRow="0" w:firstColumn="0" w:lastColumn="0" w:oddVBand="0" w:evenVBand="0" w:oddHBand="0" w:evenHBand="0" w:firstRowFirstColumn="0" w:firstRowLastColumn="0" w:lastRowFirstColumn="0" w:lastRowLastColumn="0"/>
              <w:rPr>
                <w:lang w:val="en-US"/>
              </w:rPr>
            </w:pPr>
            <w:r w:rsidRPr="003C5111">
              <w:rPr>
                <w:lang w:val="en-US"/>
              </w:rPr>
              <w:t>Total cyanide content</w:t>
            </w:r>
            <w:r w:rsidRPr="003C5111">
              <w:rPr>
                <w:b/>
                <w:lang w:val="en-US"/>
              </w:rPr>
              <w:t xml:space="preserve"> </w:t>
            </w:r>
            <w:r w:rsidRPr="003C5111">
              <w:rPr>
                <w:lang w:val="en-US"/>
              </w:rPr>
              <w:t>(ppm) = 396 × absorbance at 510 nm</w:t>
            </w:r>
          </w:p>
          <w:p w14:paraId="348AD8AD" w14:textId="77777777" w:rsidR="003C5111" w:rsidRDefault="003C5111" w:rsidP="003C5111">
            <w:pPr>
              <w:jc w:val="both"/>
              <w:cnfStyle w:val="000000000000" w:firstRow="0" w:lastRow="0" w:firstColumn="0" w:lastColumn="0" w:oddVBand="0" w:evenVBand="0" w:oddHBand="0" w:evenHBand="0" w:firstRowFirstColumn="0" w:firstRowLastColumn="0" w:lastRowFirstColumn="0" w:lastRowLastColumn="0"/>
              <w:rPr>
                <w:lang w:val="en-US"/>
              </w:rPr>
            </w:pPr>
          </w:p>
        </w:tc>
      </w:tr>
      <w:tr w:rsidR="00D5296E" w14:paraId="64C25C18" w14:textId="77777777" w:rsidTr="008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228D2996" w14:textId="77777777" w:rsidR="00D5296E" w:rsidRDefault="004253A7" w:rsidP="000C5D97">
            <w:pPr>
              <w:rPr>
                <w:lang w:val="en-US"/>
              </w:rPr>
            </w:pPr>
            <w:r w:rsidRPr="004253A7">
              <w:rPr>
                <w:lang w:val="en-US"/>
              </w:rPr>
              <w:t xml:space="preserve">Molecular identification and phylogenetic analysis of the best </w:t>
            </w:r>
            <w:r w:rsidRPr="004253A7">
              <w:rPr>
                <w:i/>
                <w:iCs/>
                <w:lang w:val="en-US"/>
              </w:rPr>
              <w:t>Trichoderma</w:t>
            </w:r>
            <w:r w:rsidRPr="004253A7">
              <w:rPr>
                <w:lang w:val="en-US"/>
              </w:rPr>
              <w:t xml:space="preserve"> isolates</w:t>
            </w:r>
          </w:p>
        </w:tc>
        <w:tc>
          <w:tcPr>
            <w:tcW w:w="8702" w:type="dxa"/>
            <w:shd w:val="clear" w:color="auto" w:fill="FFFFFF" w:themeFill="background1"/>
          </w:tcPr>
          <w:p w14:paraId="1C813643" w14:textId="77777777" w:rsidR="00455333" w:rsidRPr="00455333" w:rsidRDefault="00455333" w:rsidP="00455333">
            <w:pPr>
              <w:jc w:val="both"/>
              <w:cnfStyle w:val="000000100000" w:firstRow="0" w:lastRow="0" w:firstColumn="0" w:lastColumn="0" w:oddVBand="0" w:evenVBand="0" w:oddHBand="1" w:evenHBand="0" w:firstRowFirstColumn="0" w:firstRowLastColumn="0" w:lastRowFirstColumn="0" w:lastRowLastColumn="0"/>
              <w:rPr>
                <w:bCs/>
                <w:lang w:val="en-US"/>
              </w:rPr>
            </w:pPr>
            <w:r w:rsidRPr="00455333">
              <w:rPr>
                <w:bCs/>
                <w:lang w:val="en-US"/>
              </w:rPr>
              <w:t xml:space="preserve">Two high-performing </w:t>
            </w:r>
            <w:r w:rsidRPr="00455333">
              <w:rPr>
                <w:bCs/>
                <w:i/>
                <w:iCs/>
                <w:lang w:val="en-US"/>
              </w:rPr>
              <w:t>Trichoderma</w:t>
            </w:r>
            <w:r w:rsidRPr="00455333">
              <w:rPr>
                <w:bCs/>
                <w:lang w:val="en-US"/>
              </w:rPr>
              <w:t xml:space="preserve"> isolates were selected for their significant impact on rice plant germination, growth, and physiological characteristics, underwent molecular identification. The genomic DNA extraction was conducted using the </w:t>
            </w:r>
            <w:proofErr w:type="spellStart"/>
            <w:r w:rsidRPr="00455333">
              <w:rPr>
                <w:bCs/>
                <w:lang w:val="en-US"/>
              </w:rPr>
              <w:t>ZymoBIOMICS</w:t>
            </w:r>
            <w:proofErr w:type="spellEnd"/>
            <w:r w:rsidRPr="00455333">
              <w:rPr>
                <w:bCs/>
                <w:lang w:val="en-US"/>
              </w:rPr>
              <w:t xml:space="preserve"> DNA Kit, followed by amplification of the internal transcribed spacer region (ITS) using universal primers ITS1 (5’-TCCGTAGGTGAACCTGCGG) and ITS4 (5’-TCCTCCGCTTATTGATATGC). Sequencing was performed by </w:t>
            </w:r>
            <w:proofErr w:type="spellStart"/>
            <w:r w:rsidRPr="00455333">
              <w:rPr>
                <w:bCs/>
                <w:lang w:val="en-US"/>
              </w:rPr>
              <w:t>Saraswanti</w:t>
            </w:r>
            <w:proofErr w:type="spellEnd"/>
            <w:r w:rsidRPr="00455333">
              <w:rPr>
                <w:bCs/>
                <w:lang w:val="en-US"/>
              </w:rPr>
              <w:t xml:space="preserve"> Genomics Institute in Bogor, Indonesia, and the nucleotide sequences were analyzed via BLAST on the NCBI site. The TM10 and SB8 isolates' sequences were deposited in the GenBank database, and </w:t>
            </w:r>
            <w:r w:rsidRPr="00455333">
              <w:rPr>
                <w:bCs/>
                <w:i/>
                <w:iCs/>
                <w:lang w:val="en-US"/>
              </w:rPr>
              <w:t>Trichoderma</w:t>
            </w:r>
            <w:r w:rsidRPr="00455333">
              <w:rPr>
                <w:bCs/>
                <w:lang w:val="en-US"/>
              </w:rPr>
              <w:t xml:space="preserve"> identifications were verified with a minimum 99% sequence identity. Phylogenetic analysis was conducted using MEGA software version 11, aligning DNA sequences with reference </w:t>
            </w:r>
            <w:r w:rsidRPr="00455333">
              <w:rPr>
                <w:bCs/>
                <w:i/>
                <w:iCs/>
                <w:lang w:val="en-US"/>
              </w:rPr>
              <w:t>Trichoderma</w:t>
            </w:r>
            <w:r w:rsidRPr="00455333">
              <w:rPr>
                <w:bCs/>
                <w:lang w:val="en-US"/>
              </w:rPr>
              <w:t xml:space="preserve"> sequences from GenBank. The neighbor-joining method generated the phylogenetic tree, and its topology was assessed through bootstrap analysis with 1000 replicates.</w:t>
            </w:r>
          </w:p>
          <w:p w14:paraId="240B68DB" w14:textId="77777777" w:rsidR="00D5296E" w:rsidRDefault="00D5296E">
            <w:pPr>
              <w:cnfStyle w:val="000000100000" w:firstRow="0" w:lastRow="0" w:firstColumn="0" w:lastColumn="0" w:oddVBand="0" w:evenVBand="0" w:oddHBand="1" w:evenHBand="0" w:firstRowFirstColumn="0" w:firstRowLastColumn="0" w:lastRowFirstColumn="0" w:lastRowLastColumn="0"/>
              <w:rPr>
                <w:lang w:val="en-US"/>
              </w:rPr>
            </w:pPr>
          </w:p>
        </w:tc>
      </w:tr>
      <w:tr w:rsidR="00D5296E" w14:paraId="41DCEB37" w14:textId="77777777" w:rsidTr="00853292">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0F53E9F3" w14:textId="77777777" w:rsidR="00D5296E" w:rsidRDefault="004253A7" w:rsidP="000C5D97">
            <w:pPr>
              <w:rPr>
                <w:lang w:val="en-US"/>
              </w:rPr>
            </w:pPr>
            <w:r w:rsidRPr="004253A7">
              <w:rPr>
                <w:lang w:val="en-US"/>
              </w:rPr>
              <w:t>Statistical analysis</w:t>
            </w:r>
          </w:p>
        </w:tc>
        <w:tc>
          <w:tcPr>
            <w:tcW w:w="8702" w:type="dxa"/>
            <w:shd w:val="clear" w:color="auto" w:fill="FFFFFF" w:themeFill="background1"/>
          </w:tcPr>
          <w:p w14:paraId="2142D1F7" w14:textId="77777777" w:rsidR="00455333" w:rsidRPr="00455333" w:rsidRDefault="00455333" w:rsidP="00455333">
            <w:pPr>
              <w:jc w:val="both"/>
              <w:cnfStyle w:val="000000000000" w:firstRow="0" w:lastRow="0" w:firstColumn="0" w:lastColumn="0" w:oddVBand="0" w:evenVBand="0" w:oddHBand="0" w:evenHBand="0" w:firstRowFirstColumn="0" w:firstRowLastColumn="0" w:lastRowFirstColumn="0" w:lastRowLastColumn="0"/>
              <w:rPr>
                <w:lang w:val="en-US"/>
              </w:rPr>
            </w:pPr>
            <w:r w:rsidRPr="00455333">
              <w:rPr>
                <w:lang w:val="en-US"/>
              </w:rPr>
              <w:t>All data were analyzed statistically using one-way analysis of variance (ANOVA) methods. Mean separation was carried out for significantly different parameters using the Duncan’s Multiple Range Test (DMRT) at p ≤ 0.05.</w:t>
            </w:r>
          </w:p>
          <w:p w14:paraId="1B7DBD89" w14:textId="77777777" w:rsidR="00D5296E" w:rsidRDefault="00D5296E">
            <w:pPr>
              <w:cnfStyle w:val="000000000000" w:firstRow="0" w:lastRow="0" w:firstColumn="0" w:lastColumn="0" w:oddVBand="0" w:evenVBand="0" w:oddHBand="0" w:evenHBand="0" w:firstRowFirstColumn="0" w:firstRowLastColumn="0" w:lastRowFirstColumn="0" w:lastRowLastColumn="0"/>
              <w:rPr>
                <w:lang w:val="en-US"/>
              </w:rPr>
            </w:pPr>
          </w:p>
        </w:tc>
      </w:tr>
    </w:tbl>
    <w:p w14:paraId="7E81C19A" w14:textId="77777777" w:rsidR="00576268" w:rsidRDefault="00576268" w:rsidP="000C5D97">
      <w:pPr>
        <w:keepNext/>
        <w:rPr>
          <w:b/>
          <w:bCs/>
          <w:lang w:val="en-US"/>
        </w:rPr>
      </w:pPr>
    </w:p>
    <w:p w14:paraId="700A95FB" w14:textId="77777777" w:rsidR="00576268" w:rsidRDefault="00576268" w:rsidP="000C5D97">
      <w:pPr>
        <w:keepNext/>
        <w:rPr>
          <w:b/>
          <w:bCs/>
          <w:lang w:val="en-US"/>
        </w:rPr>
      </w:pPr>
    </w:p>
    <w:p w14:paraId="365BBD2C" w14:textId="52ED2E00" w:rsidR="00072079" w:rsidRPr="00B8202D" w:rsidRDefault="00072079" w:rsidP="000C5D97">
      <w:pPr>
        <w:keepNext/>
        <w:rPr>
          <w:b/>
          <w:bCs/>
          <w:lang w:val="en-US"/>
        </w:rPr>
      </w:pPr>
      <w:r w:rsidRPr="00B8202D">
        <w:rPr>
          <w:b/>
          <w:bCs/>
          <w:lang w:val="en-US"/>
        </w:rPr>
        <w:t>Supplementary Table S</w:t>
      </w:r>
      <w:r>
        <w:rPr>
          <w:b/>
          <w:bCs/>
          <w:lang w:val="en-US"/>
        </w:rPr>
        <w:t>2</w:t>
      </w:r>
      <w:r w:rsidRPr="00B8202D">
        <w:rPr>
          <w:b/>
          <w:bCs/>
          <w:lang w:val="en-US"/>
        </w:rPr>
        <w:t>:</w:t>
      </w:r>
      <w:r w:rsidRPr="00B8202D">
        <w:rPr>
          <w:rFonts w:cs="Times New Roman"/>
          <w:b/>
          <w:bCs/>
          <w:sz w:val="24"/>
        </w:rPr>
        <w:t xml:space="preserve"> </w:t>
      </w:r>
      <w:r w:rsidRPr="00072079">
        <w:rPr>
          <w:b/>
          <w:bCs/>
        </w:rPr>
        <w:t xml:space="preserve">Morphological characteristics of indigenous strains of </w:t>
      </w:r>
      <w:r w:rsidRPr="00072079">
        <w:rPr>
          <w:b/>
          <w:bCs/>
          <w:i/>
          <w:iCs/>
        </w:rPr>
        <w:t>Trichoderma</w:t>
      </w:r>
      <w:r w:rsidRPr="00072079">
        <w:rPr>
          <w:b/>
          <w:bCs/>
        </w:rPr>
        <w:t xml:space="preserve"> isolated from West Java.</w:t>
      </w:r>
    </w:p>
    <w:tbl>
      <w:tblPr>
        <w:tblW w:w="13467" w:type="dxa"/>
        <w:tblLayout w:type="fixed"/>
        <w:tblLook w:val="04A0" w:firstRow="1" w:lastRow="0" w:firstColumn="1" w:lastColumn="0" w:noHBand="0" w:noVBand="1"/>
      </w:tblPr>
      <w:tblGrid>
        <w:gridCol w:w="1236"/>
        <w:gridCol w:w="2592"/>
        <w:gridCol w:w="1417"/>
        <w:gridCol w:w="1134"/>
        <w:gridCol w:w="1559"/>
        <w:gridCol w:w="1559"/>
        <w:gridCol w:w="1135"/>
        <w:gridCol w:w="1559"/>
        <w:gridCol w:w="1276"/>
      </w:tblGrid>
      <w:tr w:rsidR="00531A80" w:rsidRPr="008137D0" w14:paraId="66B02992" w14:textId="77777777" w:rsidTr="004D1BFD">
        <w:trPr>
          <w:trHeight w:val="294"/>
        </w:trPr>
        <w:tc>
          <w:tcPr>
            <w:tcW w:w="1236" w:type="dxa"/>
            <w:vMerge w:val="restart"/>
            <w:tcBorders>
              <w:top w:val="single" w:sz="4" w:space="0" w:color="auto"/>
            </w:tcBorders>
            <w:shd w:val="clear" w:color="auto" w:fill="auto"/>
          </w:tcPr>
          <w:p w14:paraId="78750BAF" w14:textId="77777777" w:rsidR="00531A80" w:rsidRPr="008137D0" w:rsidRDefault="00531A80" w:rsidP="004D1BFD">
            <w:pPr>
              <w:jc w:val="center"/>
            </w:pPr>
          </w:p>
          <w:p w14:paraId="3D4E3C73" w14:textId="77777777" w:rsidR="00531A80" w:rsidRPr="008137D0" w:rsidRDefault="00531A80" w:rsidP="004D1BFD">
            <w:pPr>
              <w:jc w:val="center"/>
              <w:rPr>
                <w:b/>
                <w:bCs/>
              </w:rPr>
            </w:pPr>
            <w:r w:rsidRPr="008137D0">
              <w:rPr>
                <w:b/>
                <w:bCs/>
              </w:rPr>
              <w:t>Isolate Codes</w:t>
            </w:r>
          </w:p>
        </w:tc>
        <w:tc>
          <w:tcPr>
            <w:tcW w:w="6702" w:type="dxa"/>
            <w:gridSpan w:val="4"/>
            <w:tcBorders>
              <w:top w:val="single" w:sz="4" w:space="0" w:color="auto"/>
              <w:bottom w:val="single" w:sz="4" w:space="0" w:color="auto"/>
            </w:tcBorders>
            <w:shd w:val="clear" w:color="auto" w:fill="auto"/>
          </w:tcPr>
          <w:p w14:paraId="7D71D5A0" w14:textId="77777777" w:rsidR="00531A80" w:rsidRPr="008137D0" w:rsidRDefault="00531A80" w:rsidP="004D1BFD">
            <w:pPr>
              <w:jc w:val="center"/>
              <w:rPr>
                <w:b/>
                <w:bCs/>
              </w:rPr>
            </w:pPr>
            <w:r w:rsidRPr="008137D0">
              <w:rPr>
                <w:b/>
                <w:bCs/>
              </w:rPr>
              <w:t>Macroscopic characteristics</w:t>
            </w:r>
          </w:p>
        </w:tc>
        <w:tc>
          <w:tcPr>
            <w:tcW w:w="5529" w:type="dxa"/>
            <w:gridSpan w:val="4"/>
            <w:tcBorders>
              <w:top w:val="single" w:sz="4" w:space="0" w:color="auto"/>
              <w:bottom w:val="single" w:sz="4" w:space="0" w:color="auto"/>
            </w:tcBorders>
          </w:tcPr>
          <w:p w14:paraId="131D50C4" w14:textId="77777777" w:rsidR="00531A80" w:rsidRPr="008137D0" w:rsidRDefault="00531A80" w:rsidP="004D1BFD">
            <w:pPr>
              <w:jc w:val="center"/>
              <w:rPr>
                <w:b/>
                <w:bCs/>
              </w:rPr>
            </w:pPr>
            <w:r w:rsidRPr="008137D0">
              <w:rPr>
                <w:b/>
                <w:bCs/>
              </w:rPr>
              <w:t>Microscopic characteristics</w:t>
            </w:r>
          </w:p>
        </w:tc>
      </w:tr>
      <w:tr w:rsidR="00531A80" w:rsidRPr="008137D0" w14:paraId="3B90AAC6" w14:textId="77777777" w:rsidTr="004D1BFD">
        <w:trPr>
          <w:trHeight w:val="294"/>
        </w:trPr>
        <w:tc>
          <w:tcPr>
            <w:tcW w:w="1236" w:type="dxa"/>
            <w:vMerge/>
            <w:tcBorders>
              <w:bottom w:val="single" w:sz="4" w:space="0" w:color="auto"/>
            </w:tcBorders>
            <w:shd w:val="clear" w:color="auto" w:fill="auto"/>
          </w:tcPr>
          <w:p w14:paraId="0F37B2FD" w14:textId="77777777" w:rsidR="00531A80" w:rsidRPr="008137D0" w:rsidRDefault="00531A80" w:rsidP="004D1BFD">
            <w:pPr>
              <w:spacing w:line="276" w:lineRule="auto"/>
              <w:jc w:val="center"/>
              <w:rPr>
                <w:b/>
                <w:bCs/>
              </w:rPr>
            </w:pPr>
          </w:p>
        </w:tc>
        <w:tc>
          <w:tcPr>
            <w:tcW w:w="2592" w:type="dxa"/>
            <w:tcBorders>
              <w:top w:val="single" w:sz="4" w:space="0" w:color="auto"/>
              <w:bottom w:val="single" w:sz="4" w:space="0" w:color="auto"/>
            </w:tcBorders>
            <w:shd w:val="clear" w:color="auto" w:fill="auto"/>
          </w:tcPr>
          <w:p w14:paraId="66DA4B6E" w14:textId="77777777" w:rsidR="00531A80" w:rsidRPr="008137D0" w:rsidRDefault="00531A80" w:rsidP="004D1BFD">
            <w:pPr>
              <w:spacing w:line="276" w:lineRule="auto"/>
              <w:jc w:val="center"/>
              <w:rPr>
                <w:b/>
                <w:bCs/>
              </w:rPr>
            </w:pPr>
            <w:r w:rsidRPr="008137D0">
              <w:rPr>
                <w:b/>
                <w:bCs/>
              </w:rPr>
              <w:t xml:space="preserve">Colony </w:t>
            </w:r>
            <w:proofErr w:type="spellStart"/>
            <w:r w:rsidRPr="008137D0">
              <w:rPr>
                <w:b/>
                <w:bCs/>
              </w:rPr>
              <w:t>colors</w:t>
            </w:r>
            <w:proofErr w:type="spellEnd"/>
          </w:p>
        </w:tc>
        <w:tc>
          <w:tcPr>
            <w:tcW w:w="1417" w:type="dxa"/>
            <w:tcBorders>
              <w:top w:val="single" w:sz="4" w:space="0" w:color="auto"/>
              <w:bottom w:val="single" w:sz="4" w:space="0" w:color="auto"/>
            </w:tcBorders>
            <w:shd w:val="clear" w:color="auto" w:fill="auto"/>
          </w:tcPr>
          <w:p w14:paraId="5F8CABA7" w14:textId="77777777" w:rsidR="00531A80" w:rsidRPr="008137D0" w:rsidRDefault="00531A80" w:rsidP="004D1BFD">
            <w:pPr>
              <w:spacing w:line="276" w:lineRule="auto"/>
              <w:jc w:val="center"/>
              <w:rPr>
                <w:b/>
                <w:bCs/>
              </w:rPr>
            </w:pPr>
            <w:r w:rsidRPr="008137D0">
              <w:rPr>
                <w:b/>
                <w:bCs/>
              </w:rPr>
              <w:t>Colony patterns</w:t>
            </w:r>
          </w:p>
        </w:tc>
        <w:tc>
          <w:tcPr>
            <w:tcW w:w="1134" w:type="dxa"/>
            <w:tcBorders>
              <w:top w:val="single" w:sz="4" w:space="0" w:color="auto"/>
              <w:bottom w:val="single" w:sz="4" w:space="0" w:color="auto"/>
            </w:tcBorders>
            <w:shd w:val="clear" w:color="auto" w:fill="auto"/>
          </w:tcPr>
          <w:p w14:paraId="32A206B4" w14:textId="77777777" w:rsidR="00531A80" w:rsidRPr="008137D0" w:rsidRDefault="00531A80" w:rsidP="004D1BFD">
            <w:pPr>
              <w:spacing w:line="276" w:lineRule="auto"/>
              <w:jc w:val="center"/>
              <w:rPr>
                <w:b/>
                <w:bCs/>
              </w:rPr>
            </w:pPr>
            <w:r w:rsidRPr="008137D0">
              <w:rPr>
                <w:b/>
                <w:bCs/>
              </w:rPr>
              <w:t>Colony surfaces</w:t>
            </w:r>
          </w:p>
        </w:tc>
        <w:tc>
          <w:tcPr>
            <w:tcW w:w="1559" w:type="dxa"/>
            <w:tcBorders>
              <w:top w:val="single" w:sz="4" w:space="0" w:color="auto"/>
              <w:bottom w:val="single" w:sz="4" w:space="0" w:color="auto"/>
            </w:tcBorders>
            <w:shd w:val="clear" w:color="auto" w:fill="auto"/>
          </w:tcPr>
          <w:p w14:paraId="0CE7E37D" w14:textId="77777777" w:rsidR="00531A80" w:rsidRPr="008137D0" w:rsidRDefault="00531A80" w:rsidP="004D1BFD">
            <w:pPr>
              <w:spacing w:line="276" w:lineRule="auto"/>
              <w:jc w:val="center"/>
              <w:rPr>
                <w:b/>
                <w:bCs/>
              </w:rPr>
            </w:pPr>
            <w:r w:rsidRPr="008137D0">
              <w:rPr>
                <w:b/>
                <w:bCs/>
              </w:rPr>
              <w:t>Yellow pigmentation</w:t>
            </w:r>
          </w:p>
        </w:tc>
        <w:tc>
          <w:tcPr>
            <w:tcW w:w="1559" w:type="dxa"/>
            <w:tcBorders>
              <w:top w:val="single" w:sz="4" w:space="0" w:color="auto"/>
              <w:bottom w:val="single" w:sz="4" w:space="0" w:color="auto"/>
            </w:tcBorders>
          </w:tcPr>
          <w:p w14:paraId="370ED973" w14:textId="77777777" w:rsidR="00531A80" w:rsidRPr="008137D0" w:rsidRDefault="00531A80" w:rsidP="004D1BFD">
            <w:pPr>
              <w:spacing w:line="276" w:lineRule="auto"/>
              <w:jc w:val="center"/>
              <w:rPr>
                <w:b/>
                <w:bCs/>
              </w:rPr>
            </w:pPr>
            <w:r w:rsidRPr="008137D0">
              <w:rPr>
                <w:b/>
              </w:rPr>
              <w:t>Phialides</w:t>
            </w:r>
          </w:p>
        </w:tc>
        <w:tc>
          <w:tcPr>
            <w:tcW w:w="1135" w:type="dxa"/>
            <w:tcBorders>
              <w:top w:val="single" w:sz="4" w:space="0" w:color="auto"/>
              <w:bottom w:val="single" w:sz="4" w:space="0" w:color="auto"/>
            </w:tcBorders>
          </w:tcPr>
          <w:p w14:paraId="4FB8DC9B" w14:textId="77777777" w:rsidR="00531A80" w:rsidRPr="008137D0" w:rsidRDefault="00531A80" w:rsidP="004D1BFD">
            <w:pPr>
              <w:spacing w:line="276" w:lineRule="auto"/>
              <w:jc w:val="center"/>
              <w:rPr>
                <w:b/>
                <w:bCs/>
              </w:rPr>
            </w:pPr>
            <w:r w:rsidRPr="008137D0">
              <w:rPr>
                <w:b/>
              </w:rPr>
              <w:t>Conidial shapes</w:t>
            </w:r>
          </w:p>
        </w:tc>
        <w:tc>
          <w:tcPr>
            <w:tcW w:w="1559" w:type="dxa"/>
            <w:tcBorders>
              <w:top w:val="single" w:sz="4" w:space="0" w:color="auto"/>
              <w:bottom w:val="single" w:sz="4" w:space="0" w:color="auto"/>
            </w:tcBorders>
          </w:tcPr>
          <w:p w14:paraId="01F3F942" w14:textId="77777777" w:rsidR="00531A80" w:rsidRPr="008137D0" w:rsidRDefault="00531A80" w:rsidP="004D1BFD">
            <w:pPr>
              <w:spacing w:line="276" w:lineRule="auto"/>
              <w:jc w:val="center"/>
              <w:rPr>
                <w:b/>
                <w:bCs/>
              </w:rPr>
            </w:pPr>
            <w:r w:rsidRPr="008137D0">
              <w:rPr>
                <w:b/>
              </w:rPr>
              <w:t>Branched conidiophore</w:t>
            </w:r>
          </w:p>
        </w:tc>
        <w:tc>
          <w:tcPr>
            <w:tcW w:w="1276" w:type="dxa"/>
            <w:tcBorders>
              <w:top w:val="single" w:sz="4" w:space="0" w:color="auto"/>
              <w:bottom w:val="single" w:sz="4" w:space="0" w:color="auto"/>
            </w:tcBorders>
          </w:tcPr>
          <w:p w14:paraId="07AE0F61" w14:textId="77777777" w:rsidR="00531A80" w:rsidRPr="008137D0" w:rsidRDefault="00531A80" w:rsidP="004D1BFD">
            <w:pPr>
              <w:spacing w:line="276" w:lineRule="auto"/>
              <w:jc w:val="center"/>
              <w:rPr>
                <w:b/>
                <w:bCs/>
              </w:rPr>
            </w:pPr>
            <w:r w:rsidRPr="008137D0">
              <w:rPr>
                <w:b/>
              </w:rPr>
              <w:t>Septate hyphae</w:t>
            </w:r>
          </w:p>
        </w:tc>
      </w:tr>
      <w:tr w:rsidR="00531A80" w:rsidRPr="008137D0" w14:paraId="3D6F8698" w14:textId="77777777" w:rsidTr="004D1BFD">
        <w:trPr>
          <w:trHeight w:val="294"/>
        </w:trPr>
        <w:tc>
          <w:tcPr>
            <w:tcW w:w="1236" w:type="dxa"/>
            <w:tcBorders>
              <w:top w:val="single" w:sz="4" w:space="0" w:color="auto"/>
            </w:tcBorders>
            <w:shd w:val="clear" w:color="auto" w:fill="auto"/>
          </w:tcPr>
          <w:p w14:paraId="37F430AF" w14:textId="77777777" w:rsidR="00531A80" w:rsidRPr="008137D0" w:rsidRDefault="00531A80" w:rsidP="004D1BFD">
            <w:pPr>
              <w:spacing w:line="276" w:lineRule="auto"/>
              <w:jc w:val="center"/>
            </w:pPr>
            <w:r w:rsidRPr="008137D0">
              <w:t>TM1</w:t>
            </w:r>
          </w:p>
        </w:tc>
        <w:tc>
          <w:tcPr>
            <w:tcW w:w="2592" w:type="dxa"/>
            <w:tcBorders>
              <w:top w:val="single" w:sz="4" w:space="0" w:color="auto"/>
            </w:tcBorders>
            <w:shd w:val="clear" w:color="auto" w:fill="auto"/>
          </w:tcPr>
          <w:p w14:paraId="2DFC6E0F" w14:textId="77777777" w:rsidR="00531A80" w:rsidRPr="008137D0" w:rsidRDefault="00531A80" w:rsidP="004D1BFD">
            <w:pPr>
              <w:spacing w:line="276" w:lineRule="auto"/>
            </w:pPr>
            <w:r w:rsidRPr="008137D0">
              <w:t>White and dark green</w:t>
            </w:r>
          </w:p>
        </w:tc>
        <w:tc>
          <w:tcPr>
            <w:tcW w:w="1417" w:type="dxa"/>
            <w:tcBorders>
              <w:top w:val="single" w:sz="4" w:space="0" w:color="auto"/>
            </w:tcBorders>
            <w:shd w:val="clear" w:color="auto" w:fill="auto"/>
          </w:tcPr>
          <w:p w14:paraId="4817100A" w14:textId="77777777" w:rsidR="00531A80" w:rsidRPr="008137D0" w:rsidRDefault="00531A80" w:rsidP="004D1BFD">
            <w:pPr>
              <w:spacing w:line="276" w:lineRule="auto"/>
              <w:jc w:val="center"/>
              <w:rPr>
                <w:iCs/>
              </w:rPr>
            </w:pPr>
            <w:r w:rsidRPr="008137D0">
              <w:t>Radiate</w:t>
            </w:r>
          </w:p>
        </w:tc>
        <w:tc>
          <w:tcPr>
            <w:tcW w:w="1134" w:type="dxa"/>
            <w:tcBorders>
              <w:top w:val="single" w:sz="4" w:space="0" w:color="auto"/>
            </w:tcBorders>
            <w:shd w:val="clear" w:color="auto" w:fill="auto"/>
          </w:tcPr>
          <w:p w14:paraId="37CF1A43" w14:textId="77777777" w:rsidR="00531A80" w:rsidRPr="008137D0" w:rsidRDefault="00531A80" w:rsidP="004D1BFD">
            <w:pPr>
              <w:spacing w:line="276" w:lineRule="auto"/>
              <w:jc w:val="center"/>
              <w:rPr>
                <w:iCs/>
              </w:rPr>
            </w:pPr>
            <w:r w:rsidRPr="008137D0">
              <w:t>Powdery</w:t>
            </w:r>
          </w:p>
        </w:tc>
        <w:tc>
          <w:tcPr>
            <w:tcW w:w="1559" w:type="dxa"/>
            <w:tcBorders>
              <w:top w:val="single" w:sz="4" w:space="0" w:color="auto"/>
            </w:tcBorders>
            <w:shd w:val="clear" w:color="auto" w:fill="auto"/>
          </w:tcPr>
          <w:p w14:paraId="1F2F52E2" w14:textId="77777777" w:rsidR="00531A80" w:rsidRPr="008137D0" w:rsidRDefault="00531A80" w:rsidP="004D1BFD">
            <w:pPr>
              <w:spacing w:line="276" w:lineRule="auto"/>
              <w:jc w:val="center"/>
            </w:pPr>
            <w:r w:rsidRPr="008137D0">
              <w:t>No</w:t>
            </w:r>
          </w:p>
        </w:tc>
        <w:tc>
          <w:tcPr>
            <w:tcW w:w="1559" w:type="dxa"/>
            <w:tcBorders>
              <w:top w:val="single" w:sz="4" w:space="0" w:color="auto"/>
            </w:tcBorders>
          </w:tcPr>
          <w:p w14:paraId="758B7A12" w14:textId="77777777" w:rsidR="00531A80" w:rsidRPr="008137D0" w:rsidRDefault="00531A80" w:rsidP="004D1BFD">
            <w:pPr>
              <w:spacing w:line="276" w:lineRule="auto"/>
              <w:jc w:val="center"/>
            </w:pPr>
            <w:r w:rsidRPr="008137D0">
              <w:t>Lageniform</w:t>
            </w:r>
          </w:p>
        </w:tc>
        <w:tc>
          <w:tcPr>
            <w:tcW w:w="1135" w:type="dxa"/>
            <w:tcBorders>
              <w:top w:val="single" w:sz="4" w:space="0" w:color="auto"/>
            </w:tcBorders>
          </w:tcPr>
          <w:p w14:paraId="02D6F9CE" w14:textId="77777777" w:rsidR="00531A80" w:rsidRPr="008137D0" w:rsidRDefault="00531A80" w:rsidP="004D1BFD">
            <w:pPr>
              <w:spacing w:line="276" w:lineRule="auto"/>
              <w:jc w:val="center"/>
            </w:pPr>
            <w:r w:rsidRPr="008137D0">
              <w:t>Globose</w:t>
            </w:r>
          </w:p>
        </w:tc>
        <w:tc>
          <w:tcPr>
            <w:tcW w:w="1559" w:type="dxa"/>
            <w:tcBorders>
              <w:top w:val="single" w:sz="4" w:space="0" w:color="auto"/>
            </w:tcBorders>
          </w:tcPr>
          <w:p w14:paraId="0C3A11A8" w14:textId="77777777" w:rsidR="00531A80" w:rsidRPr="008137D0" w:rsidRDefault="00531A80" w:rsidP="004D1BFD">
            <w:pPr>
              <w:spacing w:line="276" w:lineRule="auto"/>
              <w:jc w:val="center"/>
            </w:pPr>
            <w:r w:rsidRPr="008137D0">
              <w:t>Yes</w:t>
            </w:r>
          </w:p>
        </w:tc>
        <w:tc>
          <w:tcPr>
            <w:tcW w:w="1276" w:type="dxa"/>
            <w:tcBorders>
              <w:top w:val="single" w:sz="4" w:space="0" w:color="auto"/>
            </w:tcBorders>
          </w:tcPr>
          <w:p w14:paraId="2AC407E4" w14:textId="77777777" w:rsidR="00531A80" w:rsidRPr="008137D0" w:rsidRDefault="00531A80" w:rsidP="004D1BFD">
            <w:pPr>
              <w:spacing w:line="276" w:lineRule="auto"/>
              <w:jc w:val="center"/>
            </w:pPr>
            <w:r w:rsidRPr="008137D0">
              <w:t>Yes</w:t>
            </w:r>
          </w:p>
        </w:tc>
      </w:tr>
      <w:tr w:rsidR="00531A80" w:rsidRPr="008137D0" w14:paraId="518D6CAF" w14:textId="77777777" w:rsidTr="004D1BFD">
        <w:trPr>
          <w:trHeight w:val="294"/>
        </w:trPr>
        <w:tc>
          <w:tcPr>
            <w:tcW w:w="1236" w:type="dxa"/>
            <w:shd w:val="clear" w:color="auto" w:fill="auto"/>
          </w:tcPr>
          <w:p w14:paraId="7A8B3877" w14:textId="77777777" w:rsidR="00531A80" w:rsidRPr="008137D0" w:rsidRDefault="00531A80" w:rsidP="004D1BFD">
            <w:pPr>
              <w:spacing w:line="276" w:lineRule="auto"/>
              <w:jc w:val="center"/>
            </w:pPr>
            <w:r w:rsidRPr="008137D0">
              <w:t>TM2</w:t>
            </w:r>
          </w:p>
        </w:tc>
        <w:tc>
          <w:tcPr>
            <w:tcW w:w="2592" w:type="dxa"/>
            <w:shd w:val="clear" w:color="auto" w:fill="auto"/>
          </w:tcPr>
          <w:p w14:paraId="4A021B13" w14:textId="77777777" w:rsidR="00531A80" w:rsidRPr="008137D0" w:rsidRDefault="00531A80" w:rsidP="004D1BFD">
            <w:pPr>
              <w:spacing w:line="276" w:lineRule="auto"/>
            </w:pPr>
            <w:r w:rsidRPr="008137D0">
              <w:t>White and yellowish green</w:t>
            </w:r>
          </w:p>
        </w:tc>
        <w:tc>
          <w:tcPr>
            <w:tcW w:w="1417" w:type="dxa"/>
            <w:shd w:val="clear" w:color="auto" w:fill="auto"/>
          </w:tcPr>
          <w:p w14:paraId="4DD58CD5" w14:textId="77777777" w:rsidR="00531A80" w:rsidRPr="008137D0" w:rsidRDefault="00531A80" w:rsidP="004D1BFD">
            <w:pPr>
              <w:spacing w:line="276" w:lineRule="auto"/>
              <w:jc w:val="center"/>
              <w:rPr>
                <w:iCs/>
              </w:rPr>
            </w:pPr>
            <w:r w:rsidRPr="008137D0">
              <w:t>Radiate</w:t>
            </w:r>
          </w:p>
        </w:tc>
        <w:tc>
          <w:tcPr>
            <w:tcW w:w="1134" w:type="dxa"/>
            <w:shd w:val="clear" w:color="auto" w:fill="auto"/>
          </w:tcPr>
          <w:p w14:paraId="1488948F"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56B7E8DF" w14:textId="77777777" w:rsidR="00531A80" w:rsidRPr="008137D0" w:rsidRDefault="00531A80" w:rsidP="004D1BFD">
            <w:pPr>
              <w:spacing w:line="276" w:lineRule="auto"/>
              <w:jc w:val="center"/>
            </w:pPr>
            <w:r w:rsidRPr="008137D0">
              <w:t>No</w:t>
            </w:r>
          </w:p>
        </w:tc>
        <w:tc>
          <w:tcPr>
            <w:tcW w:w="1559" w:type="dxa"/>
          </w:tcPr>
          <w:p w14:paraId="686D9252" w14:textId="77777777" w:rsidR="00531A80" w:rsidRPr="008137D0" w:rsidRDefault="00531A80" w:rsidP="004D1BFD">
            <w:pPr>
              <w:spacing w:line="276" w:lineRule="auto"/>
              <w:jc w:val="center"/>
            </w:pPr>
            <w:r w:rsidRPr="008137D0">
              <w:t>Lageniform</w:t>
            </w:r>
          </w:p>
        </w:tc>
        <w:tc>
          <w:tcPr>
            <w:tcW w:w="1135" w:type="dxa"/>
          </w:tcPr>
          <w:p w14:paraId="4E932F6D" w14:textId="77777777" w:rsidR="00531A80" w:rsidRPr="008137D0" w:rsidRDefault="00531A80" w:rsidP="004D1BFD">
            <w:pPr>
              <w:spacing w:line="276" w:lineRule="auto"/>
              <w:jc w:val="center"/>
            </w:pPr>
            <w:r w:rsidRPr="008137D0">
              <w:t>Obovoid</w:t>
            </w:r>
          </w:p>
        </w:tc>
        <w:tc>
          <w:tcPr>
            <w:tcW w:w="1559" w:type="dxa"/>
          </w:tcPr>
          <w:p w14:paraId="7F8F480E" w14:textId="77777777" w:rsidR="00531A80" w:rsidRPr="008137D0" w:rsidRDefault="00531A80" w:rsidP="004D1BFD">
            <w:pPr>
              <w:spacing w:line="276" w:lineRule="auto"/>
              <w:jc w:val="center"/>
            </w:pPr>
            <w:r w:rsidRPr="008137D0">
              <w:t>Yes</w:t>
            </w:r>
          </w:p>
        </w:tc>
        <w:tc>
          <w:tcPr>
            <w:tcW w:w="1276" w:type="dxa"/>
          </w:tcPr>
          <w:p w14:paraId="36CC2AA9" w14:textId="77777777" w:rsidR="00531A80" w:rsidRPr="008137D0" w:rsidRDefault="00531A80" w:rsidP="004D1BFD">
            <w:pPr>
              <w:spacing w:line="276" w:lineRule="auto"/>
              <w:jc w:val="center"/>
            </w:pPr>
            <w:r w:rsidRPr="008137D0">
              <w:t>Yes</w:t>
            </w:r>
          </w:p>
        </w:tc>
      </w:tr>
      <w:tr w:rsidR="00531A80" w:rsidRPr="008137D0" w14:paraId="13704F26" w14:textId="77777777" w:rsidTr="004D1BFD">
        <w:trPr>
          <w:trHeight w:val="294"/>
        </w:trPr>
        <w:tc>
          <w:tcPr>
            <w:tcW w:w="1236" w:type="dxa"/>
            <w:shd w:val="clear" w:color="auto" w:fill="auto"/>
          </w:tcPr>
          <w:p w14:paraId="398F66DE" w14:textId="77777777" w:rsidR="00531A80" w:rsidRPr="008137D0" w:rsidRDefault="00531A80" w:rsidP="004D1BFD">
            <w:pPr>
              <w:spacing w:line="276" w:lineRule="auto"/>
              <w:jc w:val="center"/>
            </w:pPr>
            <w:r w:rsidRPr="008137D0">
              <w:t>TM3</w:t>
            </w:r>
          </w:p>
        </w:tc>
        <w:tc>
          <w:tcPr>
            <w:tcW w:w="2592" w:type="dxa"/>
            <w:shd w:val="clear" w:color="auto" w:fill="auto"/>
          </w:tcPr>
          <w:p w14:paraId="4D6A1EB3" w14:textId="77777777" w:rsidR="00531A80" w:rsidRPr="008137D0" w:rsidRDefault="00531A80" w:rsidP="004D1BFD">
            <w:pPr>
              <w:spacing w:line="276" w:lineRule="auto"/>
            </w:pPr>
            <w:r w:rsidRPr="008137D0">
              <w:t>White and dark green</w:t>
            </w:r>
          </w:p>
        </w:tc>
        <w:tc>
          <w:tcPr>
            <w:tcW w:w="1417" w:type="dxa"/>
            <w:shd w:val="clear" w:color="auto" w:fill="auto"/>
          </w:tcPr>
          <w:p w14:paraId="7B28A0E0"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60B0A822"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742F1CCE" w14:textId="77777777" w:rsidR="00531A80" w:rsidRPr="008137D0" w:rsidRDefault="00531A80" w:rsidP="004D1BFD">
            <w:pPr>
              <w:spacing w:line="276" w:lineRule="auto"/>
              <w:jc w:val="center"/>
            </w:pPr>
            <w:r w:rsidRPr="008137D0">
              <w:t>No</w:t>
            </w:r>
          </w:p>
        </w:tc>
        <w:tc>
          <w:tcPr>
            <w:tcW w:w="1559" w:type="dxa"/>
          </w:tcPr>
          <w:p w14:paraId="4E70FFB9" w14:textId="77777777" w:rsidR="00531A80" w:rsidRPr="008137D0" w:rsidRDefault="00531A80" w:rsidP="004D1BFD">
            <w:pPr>
              <w:spacing w:line="276" w:lineRule="auto"/>
              <w:jc w:val="center"/>
            </w:pPr>
            <w:r w:rsidRPr="008137D0">
              <w:t>Ampulliform</w:t>
            </w:r>
          </w:p>
        </w:tc>
        <w:tc>
          <w:tcPr>
            <w:tcW w:w="1135" w:type="dxa"/>
          </w:tcPr>
          <w:p w14:paraId="600F43D5" w14:textId="77777777" w:rsidR="00531A80" w:rsidRPr="008137D0" w:rsidRDefault="00531A80" w:rsidP="004D1BFD">
            <w:pPr>
              <w:spacing w:line="276" w:lineRule="auto"/>
              <w:jc w:val="center"/>
            </w:pPr>
            <w:r w:rsidRPr="008137D0">
              <w:t>Globose</w:t>
            </w:r>
          </w:p>
        </w:tc>
        <w:tc>
          <w:tcPr>
            <w:tcW w:w="1559" w:type="dxa"/>
          </w:tcPr>
          <w:p w14:paraId="44AA243C" w14:textId="77777777" w:rsidR="00531A80" w:rsidRPr="008137D0" w:rsidRDefault="00531A80" w:rsidP="004D1BFD">
            <w:pPr>
              <w:spacing w:line="276" w:lineRule="auto"/>
              <w:jc w:val="center"/>
            </w:pPr>
            <w:r w:rsidRPr="008137D0">
              <w:t>Yes</w:t>
            </w:r>
          </w:p>
        </w:tc>
        <w:tc>
          <w:tcPr>
            <w:tcW w:w="1276" w:type="dxa"/>
          </w:tcPr>
          <w:p w14:paraId="4E3CF42D" w14:textId="77777777" w:rsidR="00531A80" w:rsidRPr="008137D0" w:rsidRDefault="00531A80" w:rsidP="004D1BFD">
            <w:pPr>
              <w:spacing w:line="276" w:lineRule="auto"/>
              <w:jc w:val="center"/>
            </w:pPr>
            <w:r w:rsidRPr="008137D0">
              <w:t>Yes</w:t>
            </w:r>
          </w:p>
        </w:tc>
      </w:tr>
      <w:tr w:rsidR="00531A80" w:rsidRPr="008137D0" w14:paraId="1DEB8B60" w14:textId="77777777" w:rsidTr="004D1BFD">
        <w:trPr>
          <w:trHeight w:val="294"/>
        </w:trPr>
        <w:tc>
          <w:tcPr>
            <w:tcW w:w="1236" w:type="dxa"/>
            <w:shd w:val="clear" w:color="auto" w:fill="auto"/>
          </w:tcPr>
          <w:p w14:paraId="56990E64" w14:textId="77777777" w:rsidR="00531A80" w:rsidRPr="008137D0" w:rsidRDefault="00531A80" w:rsidP="004D1BFD">
            <w:pPr>
              <w:spacing w:line="276" w:lineRule="auto"/>
              <w:jc w:val="center"/>
            </w:pPr>
            <w:r w:rsidRPr="008137D0">
              <w:t>TM4</w:t>
            </w:r>
          </w:p>
        </w:tc>
        <w:tc>
          <w:tcPr>
            <w:tcW w:w="2592" w:type="dxa"/>
            <w:shd w:val="clear" w:color="auto" w:fill="auto"/>
          </w:tcPr>
          <w:p w14:paraId="48C9E4E6" w14:textId="77777777" w:rsidR="00531A80" w:rsidRPr="008137D0" w:rsidRDefault="00531A80" w:rsidP="004D1BFD">
            <w:pPr>
              <w:spacing w:line="276" w:lineRule="auto"/>
            </w:pPr>
            <w:r w:rsidRPr="008137D0">
              <w:t>Green</w:t>
            </w:r>
          </w:p>
        </w:tc>
        <w:tc>
          <w:tcPr>
            <w:tcW w:w="1417" w:type="dxa"/>
            <w:shd w:val="clear" w:color="auto" w:fill="auto"/>
          </w:tcPr>
          <w:p w14:paraId="045F2BD7" w14:textId="77777777" w:rsidR="00531A80" w:rsidRPr="008137D0" w:rsidRDefault="00531A80" w:rsidP="004D1BFD">
            <w:pPr>
              <w:spacing w:line="276" w:lineRule="auto"/>
              <w:jc w:val="center"/>
              <w:rPr>
                <w:iCs/>
              </w:rPr>
            </w:pPr>
            <w:r w:rsidRPr="008137D0">
              <w:t>Radiate</w:t>
            </w:r>
          </w:p>
        </w:tc>
        <w:tc>
          <w:tcPr>
            <w:tcW w:w="1134" w:type="dxa"/>
            <w:shd w:val="clear" w:color="auto" w:fill="auto"/>
          </w:tcPr>
          <w:p w14:paraId="52219A3E" w14:textId="77777777" w:rsidR="00531A80" w:rsidRPr="008137D0" w:rsidRDefault="00531A80" w:rsidP="004D1BFD">
            <w:pPr>
              <w:spacing w:line="276" w:lineRule="auto"/>
              <w:jc w:val="center"/>
              <w:rPr>
                <w:iCs/>
              </w:rPr>
            </w:pPr>
            <w:r w:rsidRPr="008137D0">
              <w:t>Powdery</w:t>
            </w:r>
          </w:p>
        </w:tc>
        <w:tc>
          <w:tcPr>
            <w:tcW w:w="1559" w:type="dxa"/>
            <w:shd w:val="clear" w:color="auto" w:fill="auto"/>
          </w:tcPr>
          <w:p w14:paraId="6E270CC5" w14:textId="77777777" w:rsidR="00531A80" w:rsidRPr="008137D0" w:rsidRDefault="00531A80" w:rsidP="004D1BFD">
            <w:pPr>
              <w:spacing w:line="276" w:lineRule="auto"/>
              <w:jc w:val="center"/>
            </w:pPr>
            <w:r w:rsidRPr="008137D0">
              <w:t>Yes</w:t>
            </w:r>
          </w:p>
        </w:tc>
        <w:tc>
          <w:tcPr>
            <w:tcW w:w="1559" w:type="dxa"/>
          </w:tcPr>
          <w:p w14:paraId="6B21D002" w14:textId="77777777" w:rsidR="00531A80" w:rsidRPr="008137D0" w:rsidRDefault="00531A80" w:rsidP="004D1BFD">
            <w:pPr>
              <w:spacing w:line="276" w:lineRule="auto"/>
              <w:jc w:val="center"/>
            </w:pPr>
            <w:r w:rsidRPr="008137D0">
              <w:t>Ampulliform</w:t>
            </w:r>
          </w:p>
        </w:tc>
        <w:tc>
          <w:tcPr>
            <w:tcW w:w="1135" w:type="dxa"/>
          </w:tcPr>
          <w:p w14:paraId="0B35D30B" w14:textId="77777777" w:rsidR="00531A80" w:rsidRPr="008137D0" w:rsidRDefault="00531A80" w:rsidP="004D1BFD">
            <w:pPr>
              <w:spacing w:line="276" w:lineRule="auto"/>
              <w:jc w:val="center"/>
            </w:pPr>
            <w:r w:rsidRPr="008137D0">
              <w:t>Globose</w:t>
            </w:r>
          </w:p>
        </w:tc>
        <w:tc>
          <w:tcPr>
            <w:tcW w:w="1559" w:type="dxa"/>
          </w:tcPr>
          <w:p w14:paraId="2AEDF948" w14:textId="77777777" w:rsidR="00531A80" w:rsidRPr="008137D0" w:rsidRDefault="00531A80" w:rsidP="004D1BFD">
            <w:pPr>
              <w:spacing w:line="276" w:lineRule="auto"/>
              <w:jc w:val="center"/>
            </w:pPr>
            <w:r w:rsidRPr="008137D0">
              <w:t>Yes</w:t>
            </w:r>
          </w:p>
        </w:tc>
        <w:tc>
          <w:tcPr>
            <w:tcW w:w="1276" w:type="dxa"/>
          </w:tcPr>
          <w:p w14:paraId="0681000C" w14:textId="77777777" w:rsidR="00531A80" w:rsidRPr="008137D0" w:rsidRDefault="00531A80" w:rsidP="004D1BFD">
            <w:pPr>
              <w:spacing w:line="276" w:lineRule="auto"/>
              <w:jc w:val="center"/>
            </w:pPr>
            <w:r w:rsidRPr="008137D0">
              <w:t>Yes</w:t>
            </w:r>
          </w:p>
        </w:tc>
      </w:tr>
      <w:tr w:rsidR="00531A80" w:rsidRPr="008137D0" w14:paraId="5BDC7D5E" w14:textId="77777777" w:rsidTr="004D1BFD">
        <w:trPr>
          <w:trHeight w:val="294"/>
        </w:trPr>
        <w:tc>
          <w:tcPr>
            <w:tcW w:w="1236" w:type="dxa"/>
            <w:shd w:val="clear" w:color="auto" w:fill="auto"/>
          </w:tcPr>
          <w:p w14:paraId="704EB27F" w14:textId="77777777" w:rsidR="00531A80" w:rsidRPr="008137D0" w:rsidRDefault="00531A80" w:rsidP="004D1BFD">
            <w:pPr>
              <w:spacing w:line="276" w:lineRule="auto"/>
              <w:jc w:val="center"/>
            </w:pPr>
            <w:r w:rsidRPr="008137D0">
              <w:t>TM5</w:t>
            </w:r>
          </w:p>
        </w:tc>
        <w:tc>
          <w:tcPr>
            <w:tcW w:w="2592" w:type="dxa"/>
            <w:shd w:val="clear" w:color="auto" w:fill="auto"/>
          </w:tcPr>
          <w:p w14:paraId="16229D10" w14:textId="77777777" w:rsidR="00531A80" w:rsidRPr="008137D0" w:rsidRDefault="00531A80" w:rsidP="004D1BFD">
            <w:pPr>
              <w:spacing w:line="276" w:lineRule="auto"/>
            </w:pPr>
            <w:r w:rsidRPr="008137D0">
              <w:t>White and yellowish green</w:t>
            </w:r>
          </w:p>
        </w:tc>
        <w:tc>
          <w:tcPr>
            <w:tcW w:w="1417" w:type="dxa"/>
            <w:shd w:val="clear" w:color="auto" w:fill="auto"/>
          </w:tcPr>
          <w:p w14:paraId="48F02A15"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408B351B"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37811F9B" w14:textId="77777777" w:rsidR="00531A80" w:rsidRPr="008137D0" w:rsidRDefault="00531A80" w:rsidP="004D1BFD">
            <w:pPr>
              <w:spacing w:line="276" w:lineRule="auto"/>
              <w:jc w:val="center"/>
            </w:pPr>
            <w:r w:rsidRPr="008137D0">
              <w:t>No</w:t>
            </w:r>
          </w:p>
        </w:tc>
        <w:tc>
          <w:tcPr>
            <w:tcW w:w="1559" w:type="dxa"/>
          </w:tcPr>
          <w:p w14:paraId="6FA64C21" w14:textId="77777777" w:rsidR="00531A80" w:rsidRPr="008137D0" w:rsidRDefault="00531A80" w:rsidP="004D1BFD">
            <w:pPr>
              <w:spacing w:line="276" w:lineRule="auto"/>
              <w:jc w:val="center"/>
            </w:pPr>
            <w:r w:rsidRPr="008137D0">
              <w:t>Ampulliform</w:t>
            </w:r>
          </w:p>
        </w:tc>
        <w:tc>
          <w:tcPr>
            <w:tcW w:w="1135" w:type="dxa"/>
          </w:tcPr>
          <w:p w14:paraId="59C3917C" w14:textId="77777777" w:rsidR="00531A80" w:rsidRPr="008137D0" w:rsidRDefault="00531A80" w:rsidP="004D1BFD">
            <w:pPr>
              <w:spacing w:line="276" w:lineRule="auto"/>
              <w:jc w:val="center"/>
            </w:pPr>
            <w:r w:rsidRPr="008137D0">
              <w:t>Globose</w:t>
            </w:r>
          </w:p>
        </w:tc>
        <w:tc>
          <w:tcPr>
            <w:tcW w:w="1559" w:type="dxa"/>
          </w:tcPr>
          <w:p w14:paraId="3EB139DC" w14:textId="77777777" w:rsidR="00531A80" w:rsidRPr="008137D0" w:rsidRDefault="00531A80" w:rsidP="004D1BFD">
            <w:pPr>
              <w:spacing w:line="276" w:lineRule="auto"/>
              <w:jc w:val="center"/>
            </w:pPr>
            <w:r w:rsidRPr="008137D0">
              <w:t>Yes</w:t>
            </w:r>
          </w:p>
        </w:tc>
        <w:tc>
          <w:tcPr>
            <w:tcW w:w="1276" w:type="dxa"/>
          </w:tcPr>
          <w:p w14:paraId="30057168" w14:textId="77777777" w:rsidR="00531A80" w:rsidRPr="008137D0" w:rsidRDefault="00531A80" w:rsidP="004D1BFD">
            <w:pPr>
              <w:spacing w:line="276" w:lineRule="auto"/>
              <w:jc w:val="center"/>
            </w:pPr>
            <w:r w:rsidRPr="008137D0">
              <w:t>Yes</w:t>
            </w:r>
          </w:p>
        </w:tc>
      </w:tr>
      <w:tr w:rsidR="00531A80" w:rsidRPr="008137D0" w14:paraId="03C6CF1E" w14:textId="77777777" w:rsidTr="004D1BFD">
        <w:trPr>
          <w:trHeight w:val="294"/>
        </w:trPr>
        <w:tc>
          <w:tcPr>
            <w:tcW w:w="1236" w:type="dxa"/>
            <w:shd w:val="clear" w:color="auto" w:fill="auto"/>
          </w:tcPr>
          <w:p w14:paraId="34C27024" w14:textId="77777777" w:rsidR="00531A80" w:rsidRPr="008137D0" w:rsidRDefault="00531A80" w:rsidP="004D1BFD">
            <w:pPr>
              <w:spacing w:line="276" w:lineRule="auto"/>
              <w:jc w:val="center"/>
            </w:pPr>
            <w:r w:rsidRPr="008137D0">
              <w:t>TM6</w:t>
            </w:r>
          </w:p>
        </w:tc>
        <w:tc>
          <w:tcPr>
            <w:tcW w:w="2592" w:type="dxa"/>
            <w:shd w:val="clear" w:color="auto" w:fill="auto"/>
          </w:tcPr>
          <w:p w14:paraId="2254EB9F" w14:textId="77777777" w:rsidR="00531A80" w:rsidRPr="008137D0" w:rsidRDefault="00531A80" w:rsidP="004D1BFD">
            <w:pPr>
              <w:spacing w:line="276" w:lineRule="auto"/>
            </w:pPr>
            <w:r w:rsidRPr="008137D0">
              <w:t>White and yellowish green</w:t>
            </w:r>
          </w:p>
        </w:tc>
        <w:tc>
          <w:tcPr>
            <w:tcW w:w="1417" w:type="dxa"/>
            <w:shd w:val="clear" w:color="auto" w:fill="auto"/>
          </w:tcPr>
          <w:p w14:paraId="2EE004BC"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63226F32"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3B10B545" w14:textId="77777777" w:rsidR="00531A80" w:rsidRPr="008137D0" w:rsidRDefault="00531A80" w:rsidP="004D1BFD">
            <w:pPr>
              <w:spacing w:line="276" w:lineRule="auto"/>
              <w:jc w:val="center"/>
            </w:pPr>
            <w:r w:rsidRPr="008137D0">
              <w:t>No</w:t>
            </w:r>
          </w:p>
        </w:tc>
        <w:tc>
          <w:tcPr>
            <w:tcW w:w="1559" w:type="dxa"/>
          </w:tcPr>
          <w:p w14:paraId="0B06E552" w14:textId="77777777" w:rsidR="00531A80" w:rsidRPr="008137D0" w:rsidRDefault="00531A80" w:rsidP="004D1BFD">
            <w:pPr>
              <w:spacing w:line="276" w:lineRule="auto"/>
              <w:jc w:val="center"/>
            </w:pPr>
            <w:r w:rsidRPr="008137D0">
              <w:t>Ampulliform</w:t>
            </w:r>
          </w:p>
        </w:tc>
        <w:tc>
          <w:tcPr>
            <w:tcW w:w="1135" w:type="dxa"/>
          </w:tcPr>
          <w:p w14:paraId="229838AF" w14:textId="77777777" w:rsidR="00531A80" w:rsidRPr="008137D0" w:rsidRDefault="00531A80" w:rsidP="004D1BFD">
            <w:pPr>
              <w:spacing w:line="276" w:lineRule="auto"/>
              <w:jc w:val="center"/>
            </w:pPr>
            <w:r w:rsidRPr="008137D0">
              <w:t>Globose</w:t>
            </w:r>
          </w:p>
        </w:tc>
        <w:tc>
          <w:tcPr>
            <w:tcW w:w="1559" w:type="dxa"/>
          </w:tcPr>
          <w:p w14:paraId="44C34666" w14:textId="77777777" w:rsidR="00531A80" w:rsidRPr="008137D0" w:rsidRDefault="00531A80" w:rsidP="004D1BFD">
            <w:pPr>
              <w:spacing w:line="276" w:lineRule="auto"/>
              <w:jc w:val="center"/>
            </w:pPr>
            <w:r w:rsidRPr="008137D0">
              <w:t>Yes</w:t>
            </w:r>
          </w:p>
        </w:tc>
        <w:tc>
          <w:tcPr>
            <w:tcW w:w="1276" w:type="dxa"/>
          </w:tcPr>
          <w:p w14:paraId="12709312" w14:textId="77777777" w:rsidR="00531A80" w:rsidRPr="008137D0" w:rsidRDefault="00531A80" w:rsidP="004D1BFD">
            <w:pPr>
              <w:spacing w:line="276" w:lineRule="auto"/>
              <w:jc w:val="center"/>
            </w:pPr>
            <w:r w:rsidRPr="008137D0">
              <w:t>Yes</w:t>
            </w:r>
          </w:p>
        </w:tc>
      </w:tr>
      <w:tr w:rsidR="00531A80" w:rsidRPr="008137D0" w14:paraId="4F766DF1" w14:textId="77777777" w:rsidTr="004D1BFD">
        <w:trPr>
          <w:trHeight w:val="294"/>
        </w:trPr>
        <w:tc>
          <w:tcPr>
            <w:tcW w:w="1236" w:type="dxa"/>
            <w:shd w:val="clear" w:color="auto" w:fill="auto"/>
          </w:tcPr>
          <w:p w14:paraId="7D046080" w14:textId="77777777" w:rsidR="00531A80" w:rsidRPr="008137D0" w:rsidRDefault="00531A80" w:rsidP="004D1BFD">
            <w:pPr>
              <w:spacing w:line="276" w:lineRule="auto"/>
              <w:jc w:val="center"/>
            </w:pPr>
            <w:r w:rsidRPr="008137D0">
              <w:t>TM7</w:t>
            </w:r>
          </w:p>
        </w:tc>
        <w:tc>
          <w:tcPr>
            <w:tcW w:w="2592" w:type="dxa"/>
            <w:shd w:val="clear" w:color="auto" w:fill="auto"/>
          </w:tcPr>
          <w:p w14:paraId="2BF70DF4" w14:textId="77777777" w:rsidR="00531A80" w:rsidRPr="008137D0" w:rsidRDefault="00531A80" w:rsidP="004D1BFD">
            <w:pPr>
              <w:spacing w:line="276" w:lineRule="auto"/>
            </w:pPr>
            <w:r w:rsidRPr="008137D0">
              <w:t>White and green</w:t>
            </w:r>
          </w:p>
        </w:tc>
        <w:tc>
          <w:tcPr>
            <w:tcW w:w="1417" w:type="dxa"/>
            <w:shd w:val="clear" w:color="auto" w:fill="auto"/>
          </w:tcPr>
          <w:p w14:paraId="3FDF226E"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6E38B92A"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11246CFB" w14:textId="77777777" w:rsidR="00531A80" w:rsidRPr="008137D0" w:rsidRDefault="00531A80" w:rsidP="004D1BFD">
            <w:pPr>
              <w:spacing w:line="276" w:lineRule="auto"/>
              <w:jc w:val="center"/>
            </w:pPr>
            <w:r w:rsidRPr="008137D0">
              <w:t>No</w:t>
            </w:r>
          </w:p>
        </w:tc>
        <w:tc>
          <w:tcPr>
            <w:tcW w:w="1559" w:type="dxa"/>
          </w:tcPr>
          <w:p w14:paraId="3D75A23D" w14:textId="77777777" w:rsidR="00531A80" w:rsidRPr="008137D0" w:rsidRDefault="00531A80" w:rsidP="004D1BFD">
            <w:pPr>
              <w:spacing w:line="276" w:lineRule="auto"/>
              <w:jc w:val="center"/>
            </w:pPr>
            <w:r w:rsidRPr="008137D0">
              <w:t>Ampulliform</w:t>
            </w:r>
          </w:p>
        </w:tc>
        <w:tc>
          <w:tcPr>
            <w:tcW w:w="1135" w:type="dxa"/>
          </w:tcPr>
          <w:p w14:paraId="64DDDBD2" w14:textId="77777777" w:rsidR="00531A80" w:rsidRPr="008137D0" w:rsidRDefault="00531A80" w:rsidP="004D1BFD">
            <w:pPr>
              <w:spacing w:line="276" w:lineRule="auto"/>
              <w:jc w:val="center"/>
            </w:pPr>
            <w:r w:rsidRPr="008137D0">
              <w:t>Globose</w:t>
            </w:r>
          </w:p>
        </w:tc>
        <w:tc>
          <w:tcPr>
            <w:tcW w:w="1559" w:type="dxa"/>
          </w:tcPr>
          <w:p w14:paraId="2E46E314" w14:textId="77777777" w:rsidR="00531A80" w:rsidRPr="008137D0" w:rsidRDefault="00531A80" w:rsidP="004D1BFD">
            <w:pPr>
              <w:spacing w:line="276" w:lineRule="auto"/>
              <w:jc w:val="center"/>
            </w:pPr>
            <w:r w:rsidRPr="008137D0">
              <w:t>Yes</w:t>
            </w:r>
          </w:p>
        </w:tc>
        <w:tc>
          <w:tcPr>
            <w:tcW w:w="1276" w:type="dxa"/>
          </w:tcPr>
          <w:p w14:paraId="70823D4C" w14:textId="77777777" w:rsidR="00531A80" w:rsidRPr="008137D0" w:rsidRDefault="00531A80" w:rsidP="004D1BFD">
            <w:pPr>
              <w:spacing w:line="276" w:lineRule="auto"/>
              <w:jc w:val="center"/>
            </w:pPr>
            <w:r w:rsidRPr="008137D0">
              <w:t>Yes</w:t>
            </w:r>
          </w:p>
        </w:tc>
      </w:tr>
      <w:tr w:rsidR="00531A80" w:rsidRPr="008137D0" w14:paraId="54A50A18" w14:textId="77777777" w:rsidTr="004D1BFD">
        <w:trPr>
          <w:trHeight w:val="284"/>
        </w:trPr>
        <w:tc>
          <w:tcPr>
            <w:tcW w:w="1236" w:type="dxa"/>
            <w:shd w:val="clear" w:color="auto" w:fill="auto"/>
          </w:tcPr>
          <w:p w14:paraId="0D648E98" w14:textId="77777777" w:rsidR="00531A80" w:rsidRPr="008137D0" w:rsidRDefault="00531A80" w:rsidP="004D1BFD">
            <w:pPr>
              <w:spacing w:line="276" w:lineRule="auto"/>
              <w:jc w:val="center"/>
            </w:pPr>
            <w:r w:rsidRPr="008137D0">
              <w:t>TM8</w:t>
            </w:r>
          </w:p>
        </w:tc>
        <w:tc>
          <w:tcPr>
            <w:tcW w:w="2592" w:type="dxa"/>
            <w:shd w:val="clear" w:color="auto" w:fill="auto"/>
          </w:tcPr>
          <w:p w14:paraId="65BF211A" w14:textId="77777777" w:rsidR="00531A80" w:rsidRPr="008137D0" w:rsidRDefault="00531A80" w:rsidP="004D1BFD">
            <w:pPr>
              <w:spacing w:line="276" w:lineRule="auto"/>
            </w:pPr>
            <w:r w:rsidRPr="008137D0">
              <w:t>White and yellowish green</w:t>
            </w:r>
          </w:p>
        </w:tc>
        <w:tc>
          <w:tcPr>
            <w:tcW w:w="1417" w:type="dxa"/>
            <w:shd w:val="clear" w:color="auto" w:fill="auto"/>
          </w:tcPr>
          <w:p w14:paraId="7065D203"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0D36A8B1" w14:textId="77777777" w:rsidR="00531A80" w:rsidRPr="008137D0" w:rsidRDefault="00531A80" w:rsidP="004D1BFD">
            <w:pPr>
              <w:spacing w:line="276" w:lineRule="auto"/>
              <w:jc w:val="center"/>
              <w:rPr>
                <w:iCs/>
              </w:rPr>
            </w:pPr>
            <w:r w:rsidRPr="008137D0">
              <w:t>Powdery</w:t>
            </w:r>
          </w:p>
        </w:tc>
        <w:tc>
          <w:tcPr>
            <w:tcW w:w="1559" w:type="dxa"/>
            <w:shd w:val="clear" w:color="auto" w:fill="auto"/>
          </w:tcPr>
          <w:p w14:paraId="04F23B7D" w14:textId="77777777" w:rsidR="00531A80" w:rsidRPr="008137D0" w:rsidRDefault="00531A80" w:rsidP="004D1BFD">
            <w:pPr>
              <w:spacing w:line="276" w:lineRule="auto"/>
              <w:jc w:val="center"/>
            </w:pPr>
            <w:r w:rsidRPr="008137D0">
              <w:t>No</w:t>
            </w:r>
          </w:p>
        </w:tc>
        <w:tc>
          <w:tcPr>
            <w:tcW w:w="1559" w:type="dxa"/>
          </w:tcPr>
          <w:p w14:paraId="5BE0CBD4" w14:textId="77777777" w:rsidR="00531A80" w:rsidRPr="008137D0" w:rsidRDefault="00531A80" w:rsidP="004D1BFD">
            <w:pPr>
              <w:spacing w:line="276" w:lineRule="auto"/>
              <w:jc w:val="center"/>
            </w:pPr>
            <w:r w:rsidRPr="008137D0">
              <w:t>Ampulliform</w:t>
            </w:r>
          </w:p>
        </w:tc>
        <w:tc>
          <w:tcPr>
            <w:tcW w:w="1135" w:type="dxa"/>
          </w:tcPr>
          <w:p w14:paraId="59F85E4E" w14:textId="77777777" w:rsidR="00531A80" w:rsidRPr="008137D0" w:rsidRDefault="00531A80" w:rsidP="004D1BFD">
            <w:pPr>
              <w:spacing w:line="276" w:lineRule="auto"/>
              <w:jc w:val="center"/>
            </w:pPr>
            <w:r w:rsidRPr="008137D0">
              <w:t>Globose</w:t>
            </w:r>
          </w:p>
        </w:tc>
        <w:tc>
          <w:tcPr>
            <w:tcW w:w="1559" w:type="dxa"/>
          </w:tcPr>
          <w:p w14:paraId="2846AB75" w14:textId="77777777" w:rsidR="00531A80" w:rsidRPr="008137D0" w:rsidRDefault="00531A80" w:rsidP="004D1BFD">
            <w:pPr>
              <w:spacing w:line="276" w:lineRule="auto"/>
              <w:jc w:val="center"/>
            </w:pPr>
            <w:r w:rsidRPr="008137D0">
              <w:t>Yes</w:t>
            </w:r>
          </w:p>
        </w:tc>
        <w:tc>
          <w:tcPr>
            <w:tcW w:w="1276" w:type="dxa"/>
          </w:tcPr>
          <w:p w14:paraId="3A2C682B" w14:textId="77777777" w:rsidR="00531A80" w:rsidRPr="008137D0" w:rsidRDefault="00531A80" w:rsidP="004D1BFD">
            <w:pPr>
              <w:spacing w:line="276" w:lineRule="auto"/>
              <w:jc w:val="center"/>
            </w:pPr>
            <w:r w:rsidRPr="008137D0">
              <w:t>Yes</w:t>
            </w:r>
          </w:p>
        </w:tc>
      </w:tr>
      <w:tr w:rsidR="00531A80" w:rsidRPr="008137D0" w14:paraId="09CED279" w14:textId="77777777" w:rsidTr="004D1BFD">
        <w:trPr>
          <w:trHeight w:val="294"/>
        </w:trPr>
        <w:tc>
          <w:tcPr>
            <w:tcW w:w="1236" w:type="dxa"/>
            <w:shd w:val="clear" w:color="auto" w:fill="auto"/>
          </w:tcPr>
          <w:p w14:paraId="5A8117B4" w14:textId="77777777" w:rsidR="00531A80" w:rsidRPr="008137D0" w:rsidRDefault="00531A80" w:rsidP="004D1BFD">
            <w:pPr>
              <w:spacing w:line="276" w:lineRule="auto"/>
              <w:jc w:val="center"/>
            </w:pPr>
            <w:r w:rsidRPr="008137D0">
              <w:t>TM9</w:t>
            </w:r>
          </w:p>
        </w:tc>
        <w:tc>
          <w:tcPr>
            <w:tcW w:w="2592" w:type="dxa"/>
            <w:shd w:val="clear" w:color="auto" w:fill="auto"/>
          </w:tcPr>
          <w:p w14:paraId="25773E31" w14:textId="77777777" w:rsidR="00531A80" w:rsidRPr="008137D0" w:rsidRDefault="00531A80" w:rsidP="004D1BFD">
            <w:pPr>
              <w:spacing w:line="276" w:lineRule="auto"/>
            </w:pPr>
            <w:r w:rsidRPr="008137D0">
              <w:t>White and green</w:t>
            </w:r>
          </w:p>
        </w:tc>
        <w:tc>
          <w:tcPr>
            <w:tcW w:w="1417" w:type="dxa"/>
            <w:shd w:val="clear" w:color="auto" w:fill="auto"/>
          </w:tcPr>
          <w:p w14:paraId="6A99A38F"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232482E9"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4ABEF5F1" w14:textId="77777777" w:rsidR="00531A80" w:rsidRPr="008137D0" w:rsidRDefault="00531A80" w:rsidP="004D1BFD">
            <w:pPr>
              <w:spacing w:line="276" w:lineRule="auto"/>
              <w:jc w:val="center"/>
            </w:pPr>
            <w:r w:rsidRPr="008137D0">
              <w:t>No</w:t>
            </w:r>
          </w:p>
        </w:tc>
        <w:tc>
          <w:tcPr>
            <w:tcW w:w="1559" w:type="dxa"/>
          </w:tcPr>
          <w:p w14:paraId="1AEDFB77" w14:textId="77777777" w:rsidR="00531A80" w:rsidRPr="008137D0" w:rsidRDefault="00531A80" w:rsidP="004D1BFD">
            <w:pPr>
              <w:spacing w:line="276" w:lineRule="auto"/>
              <w:jc w:val="center"/>
            </w:pPr>
            <w:r w:rsidRPr="008137D0">
              <w:t>Ampulliform</w:t>
            </w:r>
          </w:p>
        </w:tc>
        <w:tc>
          <w:tcPr>
            <w:tcW w:w="1135" w:type="dxa"/>
          </w:tcPr>
          <w:p w14:paraId="36D4C0B3" w14:textId="77777777" w:rsidR="00531A80" w:rsidRPr="008137D0" w:rsidRDefault="00531A80" w:rsidP="004D1BFD">
            <w:pPr>
              <w:spacing w:line="276" w:lineRule="auto"/>
              <w:jc w:val="center"/>
            </w:pPr>
            <w:r w:rsidRPr="008137D0">
              <w:t>Globose</w:t>
            </w:r>
          </w:p>
        </w:tc>
        <w:tc>
          <w:tcPr>
            <w:tcW w:w="1559" w:type="dxa"/>
          </w:tcPr>
          <w:p w14:paraId="1AF15CE9" w14:textId="77777777" w:rsidR="00531A80" w:rsidRPr="008137D0" w:rsidRDefault="00531A80" w:rsidP="004D1BFD">
            <w:pPr>
              <w:spacing w:line="276" w:lineRule="auto"/>
              <w:jc w:val="center"/>
            </w:pPr>
            <w:r w:rsidRPr="008137D0">
              <w:t>Yes</w:t>
            </w:r>
          </w:p>
        </w:tc>
        <w:tc>
          <w:tcPr>
            <w:tcW w:w="1276" w:type="dxa"/>
          </w:tcPr>
          <w:p w14:paraId="38860DDE" w14:textId="77777777" w:rsidR="00531A80" w:rsidRPr="008137D0" w:rsidRDefault="00531A80" w:rsidP="004D1BFD">
            <w:pPr>
              <w:spacing w:line="276" w:lineRule="auto"/>
              <w:jc w:val="center"/>
            </w:pPr>
            <w:r w:rsidRPr="008137D0">
              <w:t>Yes</w:t>
            </w:r>
          </w:p>
        </w:tc>
      </w:tr>
      <w:tr w:rsidR="00531A80" w:rsidRPr="008137D0" w14:paraId="43CD08B2" w14:textId="77777777" w:rsidTr="004D1BFD">
        <w:trPr>
          <w:trHeight w:val="294"/>
        </w:trPr>
        <w:tc>
          <w:tcPr>
            <w:tcW w:w="1236" w:type="dxa"/>
            <w:shd w:val="clear" w:color="auto" w:fill="auto"/>
          </w:tcPr>
          <w:p w14:paraId="5E6D10BF" w14:textId="77777777" w:rsidR="00531A80" w:rsidRPr="008137D0" w:rsidRDefault="00531A80" w:rsidP="004D1BFD">
            <w:pPr>
              <w:spacing w:line="276" w:lineRule="auto"/>
              <w:jc w:val="center"/>
            </w:pPr>
            <w:r w:rsidRPr="008137D0">
              <w:t>TM10</w:t>
            </w:r>
          </w:p>
        </w:tc>
        <w:tc>
          <w:tcPr>
            <w:tcW w:w="2592" w:type="dxa"/>
            <w:shd w:val="clear" w:color="auto" w:fill="auto"/>
          </w:tcPr>
          <w:p w14:paraId="19285059" w14:textId="77777777" w:rsidR="00531A80" w:rsidRPr="008137D0" w:rsidRDefault="00531A80" w:rsidP="004D1BFD">
            <w:pPr>
              <w:spacing w:line="276" w:lineRule="auto"/>
            </w:pPr>
            <w:r w:rsidRPr="008137D0">
              <w:t>White and yellowish green</w:t>
            </w:r>
          </w:p>
        </w:tc>
        <w:tc>
          <w:tcPr>
            <w:tcW w:w="1417" w:type="dxa"/>
            <w:shd w:val="clear" w:color="auto" w:fill="auto"/>
          </w:tcPr>
          <w:p w14:paraId="3A9F1B75"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04ED2908"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194BBD00" w14:textId="77777777" w:rsidR="00531A80" w:rsidRPr="008137D0" w:rsidRDefault="00531A80" w:rsidP="004D1BFD">
            <w:pPr>
              <w:spacing w:line="276" w:lineRule="auto"/>
              <w:jc w:val="center"/>
            </w:pPr>
            <w:r w:rsidRPr="008137D0">
              <w:t>No</w:t>
            </w:r>
          </w:p>
        </w:tc>
        <w:tc>
          <w:tcPr>
            <w:tcW w:w="1559" w:type="dxa"/>
          </w:tcPr>
          <w:p w14:paraId="099E591C" w14:textId="77777777" w:rsidR="00531A80" w:rsidRPr="008137D0" w:rsidRDefault="00531A80" w:rsidP="004D1BFD">
            <w:pPr>
              <w:spacing w:line="276" w:lineRule="auto"/>
              <w:jc w:val="center"/>
            </w:pPr>
            <w:r w:rsidRPr="008137D0">
              <w:t>Ampulliform</w:t>
            </w:r>
          </w:p>
        </w:tc>
        <w:tc>
          <w:tcPr>
            <w:tcW w:w="1135" w:type="dxa"/>
          </w:tcPr>
          <w:p w14:paraId="1ACD2BD0" w14:textId="77777777" w:rsidR="00531A80" w:rsidRPr="008137D0" w:rsidRDefault="00531A80" w:rsidP="004D1BFD">
            <w:pPr>
              <w:spacing w:line="276" w:lineRule="auto"/>
              <w:jc w:val="center"/>
            </w:pPr>
            <w:r w:rsidRPr="008137D0">
              <w:t>Obovoid</w:t>
            </w:r>
          </w:p>
        </w:tc>
        <w:tc>
          <w:tcPr>
            <w:tcW w:w="1559" w:type="dxa"/>
          </w:tcPr>
          <w:p w14:paraId="4C169D95" w14:textId="77777777" w:rsidR="00531A80" w:rsidRPr="008137D0" w:rsidRDefault="00531A80" w:rsidP="004D1BFD">
            <w:pPr>
              <w:spacing w:line="276" w:lineRule="auto"/>
              <w:jc w:val="center"/>
            </w:pPr>
            <w:r w:rsidRPr="008137D0">
              <w:t>Yes</w:t>
            </w:r>
          </w:p>
        </w:tc>
        <w:tc>
          <w:tcPr>
            <w:tcW w:w="1276" w:type="dxa"/>
          </w:tcPr>
          <w:p w14:paraId="1AA840DC" w14:textId="77777777" w:rsidR="00531A80" w:rsidRPr="008137D0" w:rsidRDefault="00531A80" w:rsidP="004D1BFD">
            <w:pPr>
              <w:spacing w:line="276" w:lineRule="auto"/>
              <w:jc w:val="center"/>
            </w:pPr>
            <w:r w:rsidRPr="008137D0">
              <w:t>Yes</w:t>
            </w:r>
          </w:p>
        </w:tc>
      </w:tr>
      <w:tr w:rsidR="00531A80" w:rsidRPr="008137D0" w14:paraId="3D1E9B13" w14:textId="77777777" w:rsidTr="004D1BFD">
        <w:trPr>
          <w:trHeight w:val="294"/>
        </w:trPr>
        <w:tc>
          <w:tcPr>
            <w:tcW w:w="1236" w:type="dxa"/>
            <w:shd w:val="clear" w:color="auto" w:fill="auto"/>
          </w:tcPr>
          <w:p w14:paraId="2BD36729" w14:textId="77777777" w:rsidR="00531A80" w:rsidRPr="008137D0" w:rsidRDefault="00531A80" w:rsidP="004D1BFD">
            <w:pPr>
              <w:spacing w:line="276" w:lineRule="auto"/>
              <w:jc w:val="center"/>
            </w:pPr>
            <w:r w:rsidRPr="008137D0">
              <w:t>TM11</w:t>
            </w:r>
          </w:p>
        </w:tc>
        <w:tc>
          <w:tcPr>
            <w:tcW w:w="2592" w:type="dxa"/>
            <w:shd w:val="clear" w:color="auto" w:fill="auto"/>
          </w:tcPr>
          <w:p w14:paraId="68296935" w14:textId="77777777" w:rsidR="00531A80" w:rsidRPr="008137D0" w:rsidRDefault="00531A80" w:rsidP="004D1BFD">
            <w:pPr>
              <w:spacing w:line="276" w:lineRule="auto"/>
            </w:pPr>
            <w:r w:rsidRPr="008137D0">
              <w:t>Green</w:t>
            </w:r>
          </w:p>
        </w:tc>
        <w:tc>
          <w:tcPr>
            <w:tcW w:w="1417" w:type="dxa"/>
            <w:shd w:val="clear" w:color="auto" w:fill="auto"/>
          </w:tcPr>
          <w:p w14:paraId="17B603E0" w14:textId="77777777" w:rsidR="00531A80" w:rsidRPr="008137D0" w:rsidRDefault="00531A80" w:rsidP="004D1BFD">
            <w:pPr>
              <w:spacing w:line="276" w:lineRule="auto"/>
              <w:jc w:val="center"/>
              <w:rPr>
                <w:iCs/>
              </w:rPr>
            </w:pPr>
            <w:r w:rsidRPr="008137D0">
              <w:t>Radiate</w:t>
            </w:r>
          </w:p>
        </w:tc>
        <w:tc>
          <w:tcPr>
            <w:tcW w:w="1134" w:type="dxa"/>
            <w:shd w:val="clear" w:color="auto" w:fill="auto"/>
          </w:tcPr>
          <w:p w14:paraId="3CBF7840" w14:textId="77777777" w:rsidR="00531A80" w:rsidRPr="008137D0" w:rsidRDefault="00531A80" w:rsidP="004D1BFD">
            <w:pPr>
              <w:spacing w:line="276" w:lineRule="auto"/>
              <w:jc w:val="center"/>
              <w:rPr>
                <w:iCs/>
              </w:rPr>
            </w:pPr>
            <w:r w:rsidRPr="008137D0">
              <w:t>Powdery</w:t>
            </w:r>
          </w:p>
        </w:tc>
        <w:tc>
          <w:tcPr>
            <w:tcW w:w="1559" w:type="dxa"/>
            <w:shd w:val="clear" w:color="auto" w:fill="auto"/>
          </w:tcPr>
          <w:p w14:paraId="1874FADB" w14:textId="77777777" w:rsidR="00531A80" w:rsidRPr="008137D0" w:rsidRDefault="00531A80" w:rsidP="004D1BFD">
            <w:pPr>
              <w:spacing w:line="276" w:lineRule="auto"/>
              <w:jc w:val="center"/>
            </w:pPr>
            <w:r w:rsidRPr="008137D0">
              <w:t>Yes</w:t>
            </w:r>
          </w:p>
        </w:tc>
        <w:tc>
          <w:tcPr>
            <w:tcW w:w="1559" w:type="dxa"/>
          </w:tcPr>
          <w:p w14:paraId="5AC86199" w14:textId="77777777" w:rsidR="00531A80" w:rsidRPr="008137D0" w:rsidRDefault="00531A80" w:rsidP="004D1BFD">
            <w:pPr>
              <w:spacing w:line="276" w:lineRule="auto"/>
              <w:jc w:val="center"/>
            </w:pPr>
            <w:r w:rsidRPr="008137D0">
              <w:t>Ampulliform</w:t>
            </w:r>
          </w:p>
        </w:tc>
        <w:tc>
          <w:tcPr>
            <w:tcW w:w="1135" w:type="dxa"/>
          </w:tcPr>
          <w:p w14:paraId="545513B5" w14:textId="77777777" w:rsidR="00531A80" w:rsidRPr="008137D0" w:rsidRDefault="00531A80" w:rsidP="004D1BFD">
            <w:pPr>
              <w:spacing w:line="276" w:lineRule="auto"/>
              <w:jc w:val="center"/>
            </w:pPr>
            <w:r w:rsidRPr="008137D0">
              <w:t>Globose</w:t>
            </w:r>
          </w:p>
        </w:tc>
        <w:tc>
          <w:tcPr>
            <w:tcW w:w="1559" w:type="dxa"/>
          </w:tcPr>
          <w:p w14:paraId="5EE1DA86" w14:textId="77777777" w:rsidR="00531A80" w:rsidRPr="008137D0" w:rsidRDefault="00531A80" w:rsidP="004D1BFD">
            <w:pPr>
              <w:spacing w:line="276" w:lineRule="auto"/>
              <w:jc w:val="center"/>
            </w:pPr>
            <w:r w:rsidRPr="008137D0">
              <w:t>Yes</w:t>
            </w:r>
          </w:p>
        </w:tc>
        <w:tc>
          <w:tcPr>
            <w:tcW w:w="1276" w:type="dxa"/>
          </w:tcPr>
          <w:p w14:paraId="1989235E" w14:textId="77777777" w:rsidR="00531A80" w:rsidRPr="008137D0" w:rsidRDefault="00531A80" w:rsidP="004D1BFD">
            <w:pPr>
              <w:spacing w:line="276" w:lineRule="auto"/>
              <w:jc w:val="center"/>
            </w:pPr>
            <w:r w:rsidRPr="008137D0">
              <w:t>Yes</w:t>
            </w:r>
          </w:p>
        </w:tc>
      </w:tr>
      <w:tr w:rsidR="00531A80" w:rsidRPr="008137D0" w14:paraId="7286AAB0" w14:textId="77777777" w:rsidTr="004D1BFD">
        <w:trPr>
          <w:trHeight w:val="294"/>
        </w:trPr>
        <w:tc>
          <w:tcPr>
            <w:tcW w:w="1236" w:type="dxa"/>
            <w:shd w:val="clear" w:color="auto" w:fill="auto"/>
          </w:tcPr>
          <w:p w14:paraId="5A2FFE25" w14:textId="77777777" w:rsidR="00531A80" w:rsidRPr="008137D0" w:rsidRDefault="00531A80" w:rsidP="004D1BFD">
            <w:pPr>
              <w:spacing w:line="276" w:lineRule="auto"/>
              <w:jc w:val="center"/>
            </w:pPr>
            <w:r w:rsidRPr="008137D0">
              <w:t>TM12</w:t>
            </w:r>
          </w:p>
        </w:tc>
        <w:tc>
          <w:tcPr>
            <w:tcW w:w="2592" w:type="dxa"/>
            <w:shd w:val="clear" w:color="auto" w:fill="auto"/>
          </w:tcPr>
          <w:p w14:paraId="7E35ADE6" w14:textId="77777777" w:rsidR="00531A80" w:rsidRPr="008137D0" w:rsidRDefault="00531A80" w:rsidP="004D1BFD">
            <w:pPr>
              <w:spacing w:line="276" w:lineRule="auto"/>
            </w:pPr>
            <w:r w:rsidRPr="008137D0">
              <w:t>White and dark green</w:t>
            </w:r>
          </w:p>
        </w:tc>
        <w:tc>
          <w:tcPr>
            <w:tcW w:w="1417" w:type="dxa"/>
            <w:shd w:val="clear" w:color="auto" w:fill="auto"/>
          </w:tcPr>
          <w:p w14:paraId="6C5D564D" w14:textId="77777777" w:rsidR="00531A80" w:rsidRPr="008137D0" w:rsidRDefault="00531A80" w:rsidP="004D1BFD">
            <w:pPr>
              <w:spacing w:line="276" w:lineRule="auto"/>
              <w:jc w:val="center"/>
              <w:rPr>
                <w:iCs/>
              </w:rPr>
            </w:pPr>
            <w:r w:rsidRPr="008137D0">
              <w:t>Radiate</w:t>
            </w:r>
          </w:p>
        </w:tc>
        <w:tc>
          <w:tcPr>
            <w:tcW w:w="1134" w:type="dxa"/>
            <w:shd w:val="clear" w:color="auto" w:fill="auto"/>
          </w:tcPr>
          <w:p w14:paraId="53C4AAA7" w14:textId="77777777" w:rsidR="00531A80" w:rsidRPr="008137D0" w:rsidRDefault="00531A80" w:rsidP="004D1BFD">
            <w:pPr>
              <w:spacing w:line="276" w:lineRule="auto"/>
              <w:jc w:val="center"/>
              <w:rPr>
                <w:iCs/>
              </w:rPr>
            </w:pPr>
            <w:r w:rsidRPr="008137D0">
              <w:t>Powdery</w:t>
            </w:r>
          </w:p>
        </w:tc>
        <w:tc>
          <w:tcPr>
            <w:tcW w:w="1559" w:type="dxa"/>
            <w:shd w:val="clear" w:color="auto" w:fill="auto"/>
          </w:tcPr>
          <w:p w14:paraId="3AD3AB0D" w14:textId="77777777" w:rsidR="00531A80" w:rsidRPr="008137D0" w:rsidRDefault="00531A80" w:rsidP="004D1BFD">
            <w:pPr>
              <w:spacing w:line="276" w:lineRule="auto"/>
              <w:jc w:val="center"/>
            </w:pPr>
            <w:r w:rsidRPr="008137D0">
              <w:t>No</w:t>
            </w:r>
          </w:p>
        </w:tc>
        <w:tc>
          <w:tcPr>
            <w:tcW w:w="1559" w:type="dxa"/>
          </w:tcPr>
          <w:p w14:paraId="6555D827" w14:textId="77777777" w:rsidR="00531A80" w:rsidRPr="008137D0" w:rsidRDefault="00531A80" w:rsidP="004D1BFD">
            <w:pPr>
              <w:spacing w:line="276" w:lineRule="auto"/>
              <w:jc w:val="center"/>
            </w:pPr>
            <w:r w:rsidRPr="008137D0">
              <w:t>Ampulliform</w:t>
            </w:r>
          </w:p>
        </w:tc>
        <w:tc>
          <w:tcPr>
            <w:tcW w:w="1135" w:type="dxa"/>
          </w:tcPr>
          <w:p w14:paraId="2952467B" w14:textId="77777777" w:rsidR="00531A80" w:rsidRPr="008137D0" w:rsidRDefault="00531A80" w:rsidP="004D1BFD">
            <w:pPr>
              <w:spacing w:line="276" w:lineRule="auto"/>
              <w:jc w:val="center"/>
            </w:pPr>
            <w:r w:rsidRPr="008137D0">
              <w:t>Obovoid</w:t>
            </w:r>
          </w:p>
        </w:tc>
        <w:tc>
          <w:tcPr>
            <w:tcW w:w="1559" w:type="dxa"/>
          </w:tcPr>
          <w:p w14:paraId="5466AF41" w14:textId="77777777" w:rsidR="00531A80" w:rsidRPr="008137D0" w:rsidRDefault="00531A80" w:rsidP="004D1BFD">
            <w:pPr>
              <w:spacing w:line="276" w:lineRule="auto"/>
              <w:jc w:val="center"/>
            </w:pPr>
            <w:r w:rsidRPr="008137D0">
              <w:t>Yes</w:t>
            </w:r>
          </w:p>
        </w:tc>
        <w:tc>
          <w:tcPr>
            <w:tcW w:w="1276" w:type="dxa"/>
          </w:tcPr>
          <w:p w14:paraId="025E30E6" w14:textId="77777777" w:rsidR="00531A80" w:rsidRPr="008137D0" w:rsidRDefault="00531A80" w:rsidP="004D1BFD">
            <w:pPr>
              <w:spacing w:line="276" w:lineRule="auto"/>
              <w:jc w:val="center"/>
            </w:pPr>
            <w:r w:rsidRPr="008137D0">
              <w:t>Yes</w:t>
            </w:r>
          </w:p>
        </w:tc>
      </w:tr>
      <w:tr w:rsidR="00531A80" w:rsidRPr="008137D0" w14:paraId="1814B756" w14:textId="77777777" w:rsidTr="004D1BFD">
        <w:trPr>
          <w:trHeight w:val="294"/>
        </w:trPr>
        <w:tc>
          <w:tcPr>
            <w:tcW w:w="1236" w:type="dxa"/>
            <w:shd w:val="clear" w:color="auto" w:fill="auto"/>
          </w:tcPr>
          <w:p w14:paraId="334F188D" w14:textId="77777777" w:rsidR="00531A80" w:rsidRPr="008137D0" w:rsidRDefault="00531A80" w:rsidP="004D1BFD">
            <w:pPr>
              <w:spacing w:line="276" w:lineRule="auto"/>
              <w:jc w:val="center"/>
            </w:pPr>
            <w:r w:rsidRPr="008137D0">
              <w:t>TM13</w:t>
            </w:r>
          </w:p>
        </w:tc>
        <w:tc>
          <w:tcPr>
            <w:tcW w:w="2592" w:type="dxa"/>
            <w:shd w:val="clear" w:color="auto" w:fill="auto"/>
          </w:tcPr>
          <w:p w14:paraId="7C6DB84E" w14:textId="77777777" w:rsidR="00531A80" w:rsidRPr="008137D0" w:rsidRDefault="00531A80" w:rsidP="004D1BFD">
            <w:pPr>
              <w:spacing w:line="276" w:lineRule="auto"/>
            </w:pPr>
            <w:r w:rsidRPr="008137D0">
              <w:t>White and green</w:t>
            </w:r>
          </w:p>
        </w:tc>
        <w:tc>
          <w:tcPr>
            <w:tcW w:w="1417" w:type="dxa"/>
            <w:shd w:val="clear" w:color="auto" w:fill="auto"/>
          </w:tcPr>
          <w:p w14:paraId="1844756F"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1559E8C9"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3544291B" w14:textId="77777777" w:rsidR="00531A80" w:rsidRPr="008137D0" w:rsidRDefault="00531A80" w:rsidP="004D1BFD">
            <w:pPr>
              <w:spacing w:line="276" w:lineRule="auto"/>
              <w:jc w:val="center"/>
            </w:pPr>
            <w:r w:rsidRPr="008137D0">
              <w:t>No</w:t>
            </w:r>
          </w:p>
        </w:tc>
        <w:tc>
          <w:tcPr>
            <w:tcW w:w="1559" w:type="dxa"/>
          </w:tcPr>
          <w:p w14:paraId="12E9D298" w14:textId="77777777" w:rsidR="00531A80" w:rsidRPr="008137D0" w:rsidRDefault="00531A80" w:rsidP="004D1BFD">
            <w:pPr>
              <w:spacing w:line="276" w:lineRule="auto"/>
              <w:jc w:val="center"/>
            </w:pPr>
            <w:r w:rsidRPr="008137D0">
              <w:t>Ampulliform</w:t>
            </w:r>
          </w:p>
        </w:tc>
        <w:tc>
          <w:tcPr>
            <w:tcW w:w="1135" w:type="dxa"/>
          </w:tcPr>
          <w:p w14:paraId="2F40C645" w14:textId="77777777" w:rsidR="00531A80" w:rsidRPr="008137D0" w:rsidRDefault="00531A80" w:rsidP="004D1BFD">
            <w:pPr>
              <w:spacing w:line="276" w:lineRule="auto"/>
              <w:jc w:val="center"/>
            </w:pPr>
            <w:r w:rsidRPr="008137D0">
              <w:t>Globose</w:t>
            </w:r>
          </w:p>
        </w:tc>
        <w:tc>
          <w:tcPr>
            <w:tcW w:w="1559" w:type="dxa"/>
          </w:tcPr>
          <w:p w14:paraId="63030F9E" w14:textId="77777777" w:rsidR="00531A80" w:rsidRPr="008137D0" w:rsidRDefault="00531A80" w:rsidP="004D1BFD">
            <w:pPr>
              <w:spacing w:line="276" w:lineRule="auto"/>
              <w:jc w:val="center"/>
            </w:pPr>
            <w:r w:rsidRPr="008137D0">
              <w:t>Yes</w:t>
            </w:r>
          </w:p>
        </w:tc>
        <w:tc>
          <w:tcPr>
            <w:tcW w:w="1276" w:type="dxa"/>
          </w:tcPr>
          <w:p w14:paraId="077B1657" w14:textId="77777777" w:rsidR="00531A80" w:rsidRPr="008137D0" w:rsidRDefault="00531A80" w:rsidP="004D1BFD">
            <w:pPr>
              <w:spacing w:line="276" w:lineRule="auto"/>
              <w:jc w:val="center"/>
            </w:pPr>
            <w:r w:rsidRPr="008137D0">
              <w:t>Yes</w:t>
            </w:r>
          </w:p>
        </w:tc>
      </w:tr>
      <w:tr w:rsidR="00531A80" w:rsidRPr="008137D0" w14:paraId="266254FA" w14:textId="77777777" w:rsidTr="004D1BFD">
        <w:trPr>
          <w:trHeight w:val="294"/>
        </w:trPr>
        <w:tc>
          <w:tcPr>
            <w:tcW w:w="1236" w:type="dxa"/>
            <w:shd w:val="clear" w:color="auto" w:fill="auto"/>
          </w:tcPr>
          <w:p w14:paraId="6DCA2CC4" w14:textId="77777777" w:rsidR="00531A80" w:rsidRPr="008137D0" w:rsidRDefault="00531A80" w:rsidP="004D1BFD">
            <w:pPr>
              <w:spacing w:line="276" w:lineRule="auto"/>
              <w:jc w:val="center"/>
            </w:pPr>
            <w:r w:rsidRPr="008137D0">
              <w:t>TM14</w:t>
            </w:r>
          </w:p>
        </w:tc>
        <w:tc>
          <w:tcPr>
            <w:tcW w:w="2592" w:type="dxa"/>
            <w:shd w:val="clear" w:color="auto" w:fill="auto"/>
          </w:tcPr>
          <w:p w14:paraId="002442D5" w14:textId="77777777" w:rsidR="00531A80" w:rsidRPr="008137D0" w:rsidRDefault="00531A80" w:rsidP="004D1BFD">
            <w:pPr>
              <w:spacing w:line="276" w:lineRule="auto"/>
            </w:pPr>
            <w:r w:rsidRPr="008137D0">
              <w:t>White and green</w:t>
            </w:r>
          </w:p>
        </w:tc>
        <w:tc>
          <w:tcPr>
            <w:tcW w:w="1417" w:type="dxa"/>
            <w:shd w:val="clear" w:color="auto" w:fill="auto"/>
          </w:tcPr>
          <w:p w14:paraId="0A24A0F3"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3A3F4D44"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2983FA65" w14:textId="77777777" w:rsidR="00531A80" w:rsidRPr="008137D0" w:rsidRDefault="00531A80" w:rsidP="004D1BFD">
            <w:pPr>
              <w:spacing w:line="276" w:lineRule="auto"/>
              <w:jc w:val="center"/>
            </w:pPr>
            <w:r w:rsidRPr="008137D0">
              <w:t>No</w:t>
            </w:r>
          </w:p>
        </w:tc>
        <w:tc>
          <w:tcPr>
            <w:tcW w:w="1559" w:type="dxa"/>
          </w:tcPr>
          <w:p w14:paraId="4729B0EF" w14:textId="77777777" w:rsidR="00531A80" w:rsidRPr="008137D0" w:rsidRDefault="00531A80" w:rsidP="004D1BFD">
            <w:pPr>
              <w:spacing w:line="276" w:lineRule="auto"/>
              <w:jc w:val="center"/>
            </w:pPr>
            <w:r w:rsidRPr="008137D0">
              <w:t>Ampulliform</w:t>
            </w:r>
          </w:p>
        </w:tc>
        <w:tc>
          <w:tcPr>
            <w:tcW w:w="1135" w:type="dxa"/>
          </w:tcPr>
          <w:p w14:paraId="25759C2A" w14:textId="77777777" w:rsidR="00531A80" w:rsidRPr="008137D0" w:rsidRDefault="00531A80" w:rsidP="004D1BFD">
            <w:pPr>
              <w:spacing w:line="276" w:lineRule="auto"/>
              <w:jc w:val="center"/>
            </w:pPr>
            <w:r w:rsidRPr="008137D0">
              <w:t>Globose</w:t>
            </w:r>
          </w:p>
        </w:tc>
        <w:tc>
          <w:tcPr>
            <w:tcW w:w="1559" w:type="dxa"/>
          </w:tcPr>
          <w:p w14:paraId="2BF4BAD8" w14:textId="77777777" w:rsidR="00531A80" w:rsidRPr="008137D0" w:rsidRDefault="00531A80" w:rsidP="004D1BFD">
            <w:pPr>
              <w:spacing w:line="276" w:lineRule="auto"/>
              <w:jc w:val="center"/>
            </w:pPr>
            <w:r w:rsidRPr="008137D0">
              <w:t>Yes</w:t>
            </w:r>
          </w:p>
        </w:tc>
        <w:tc>
          <w:tcPr>
            <w:tcW w:w="1276" w:type="dxa"/>
          </w:tcPr>
          <w:p w14:paraId="66B0C429" w14:textId="77777777" w:rsidR="00531A80" w:rsidRPr="008137D0" w:rsidRDefault="00531A80" w:rsidP="004D1BFD">
            <w:pPr>
              <w:spacing w:line="276" w:lineRule="auto"/>
              <w:jc w:val="center"/>
            </w:pPr>
            <w:r w:rsidRPr="008137D0">
              <w:t>Yes</w:t>
            </w:r>
          </w:p>
        </w:tc>
      </w:tr>
      <w:tr w:rsidR="00531A80" w:rsidRPr="008137D0" w14:paraId="55F51228" w14:textId="77777777" w:rsidTr="004D1BFD">
        <w:trPr>
          <w:trHeight w:val="294"/>
        </w:trPr>
        <w:tc>
          <w:tcPr>
            <w:tcW w:w="1236" w:type="dxa"/>
            <w:shd w:val="clear" w:color="auto" w:fill="auto"/>
          </w:tcPr>
          <w:p w14:paraId="2562CCDE" w14:textId="77777777" w:rsidR="00531A80" w:rsidRPr="008137D0" w:rsidRDefault="00531A80" w:rsidP="004D1BFD">
            <w:pPr>
              <w:spacing w:line="276" w:lineRule="auto"/>
              <w:jc w:val="center"/>
            </w:pPr>
            <w:r w:rsidRPr="008137D0">
              <w:t>TM15</w:t>
            </w:r>
          </w:p>
        </w:tc>
        <w:tc>
          <w:tcPr>
            <w:tcW w:w="2592" w:type="dxa"/>
            <w:shd w:val="clear" w:color="auto" w:fill="auto"/>
          </w:tcPr>
          <w:p w14:paraId="5A5A3684" w14:textId="77777777" w:rsidR="00531A80" w:rsidRPr="008137D0" w:rsidRDefault="00531A80" w:rsidP="004D1BFD">
            <w:pPr>
              <w:spacing w:line="276" w:lineRule="auto"/>
            </w:pPr>
            <w:r w:rsidRPr="008137D0">
              <w:t>White and green</w:t>
            </w:r>
          </w:p>
        </w:tc>
        <w:tc>
          <w:tcPr>
            <w:tcW w:w="1417" w:type="dxa"/>
            <w:shd w:val="clear" w:color="auto" w:fill="auto"/>
          </w:tcPr>
          <w:p w14:paraId="51EA45EF" w14:textId="77777777" w:rsidR="00531A80" w:rsidRPr="008137D0" w:rsidRDefault="00531A80" w:rsidP="004D1BFD">
            <w:pPr>
              <w:spacing w:line="276" w:lineRule="auto"/>
              <w:jc w:val="center"/>
              <w:rPr>
                <w:iCs/>
              </w:rPr>
            </w:pPr>
            <w:r w:rsidRPr="008137D0">
              <w:t>Zonate</w:t>
            </w:r>
          </w:p>
        </w:tc>
        <w:tc>
          <w:tcPr>
            <w:tcW w:w="1134" w:type="dxa"/>
            <w:shd w:val="clear" w:color="auto" w:fill="auto"/>
          </w:tcPr>
          <w:p w14:paraId="2389D5D1" w14:textId="77777777" w:rsidR="00531A80" w:rsidRPr="008137D0" w:rsidRDefault="00531A80" w:rsidP="004D1BFD">
            <w:pPr>
              <w:spacing w:line="276" w:lineRule="auto"/>
              <w:jc w:val="center"/>
              <w:rPr>
                <w:iCs/>
              </w:rPr>
            </w:pPr>
            <w:r w:rsidRPr="008137D0">
              <w:t>Cottony</w:t>
            </w:r>
          </w:p>
        </w:tc>
        <w:tc>
          <w:tcPr>
            <w:tcW w:w="1559" w:type="dxa"/>
            <w:shd w:val="clear" w:color="auto" w:fill="auto"/>
          </w:tcPr>
          <w:p w14:paraId="79DC6D4B" w14:textId="77777777" w:rsidR="00531A80" w:rsidRPr="008137D0" w:rsidRDefault="00531A80" w:rsidP="004D1BFD">
            <w:pPr>
              <w:spacing w:line="276" w:lineRule="auto"/>
              <w:jc w:val="center"/>
            </w:pPr>
            <w:r w:rsidRPr="008137D0">
              <w:t>No</w:t>
            </w:r>
          </w:p>
        </w:tc>
        <w:tc>
          <w:tcPr>
            <w:tcW w:w="1559" w:type="dxa"/>
          </w:tcPr>
          <w:p w14:paraId="1859C332" w14:textId="77777777" w:rsidR="00531A80" w:rsidRPr="008137D0" w:rsidRDefault="00531A80" w:rsidP="004D1BFD">
            <w:pPr>
              <w:spacing w:line="276" w:lineRule="auto"/>
              <w:jc w:val="center"/>
            </w:pPr>
            <w:r w:rsidRPr="008137D0">
              <w:t>Lageniform</w:t>
            </w:r>
          </w:p>
        </w:tc>
        <w:tc>
          <w:tcPr>
            <w:tcW w:w="1135" w:type="dxa"/>
          </w:tcPr>
          <w:p w14:paraId="46A20CD6" w14:textId="77777777" w:rsidR="00531A80" w:rsidRPr="008137D0" w:rsidRDefault="00531A80" w:rsidP="004D1BFD">
            <w:pPr>
              <w:spacing w:line="276" w:lineRule="auto"/>
              <w:jc w:val="center"/>
            </w:pPr>
            <w:r w:rsidRPr="008137D0">
              <w:t>Globose</w:t>
            </w:r>
          </w:p>
        </w:tc>
        <w:tc>
          <w:tcPr>
            <w:tcW w:w="1559" w:type="dxa"/>
          </w:tcPr>
          <w:p w14:paraId="51D34602" w14:textId="77777777" w:rsidR="00531A80" w:rsidRPr="008137D0" w:rsidRDefault="00531A80" w:rsidP="004D1BFD">
            <w:pPr>
              <w:spacing w:line="276" w:lineRule="auto"/>
              <w:jc w:val="center"/>
            </w:pPr>
            <w:r w:rsidRPr="008137D0">
              <w:t>Yes</w:t>
            </w:r>
          </w:p>
        </w:tc>
        <w:tc>
          <w:tcPr>
            <w:tcW w:w="1276" w:type="dxa"/>
          </w:tcPr>
          <w:p w14:paraId="31319385" w14:textId="77777777" w:rsidR="00531A80" w:rsidRPr="008137D0" w:rsidRDefault="00531A80" w:rsidP="004D1BFD">
            <w:pPr>
              <w:spacing w:line="276" w:lineRule="auto"/>
              <w:jc w:val="center"/>
            </w:pPr>
            <w:r w:rsidRPr="008137D0">
              <w:t>Yes</w:t>
            </w:r>
          </w:p>
        </w:tc>
      </w:tr>
      <w:tr w:rsidR="00531A80" w:rsidRPr="008137D0" w14:paraId="2F170CDE" w14:textId="77777777" w:rsidTr="004D1BFD">
        <w:trPr>
          <w:trHeight w:val="294"/>
        </w:trPr>
        <w:tc>
          <w:tcPr>
            <w:tcW w:w="1236" w:type="dxa"/>
            <w:shd w:val="clear" w:color="auto" w:fill="auto"/>
          </w:tcPr>
          <w:p w14:paraId="35C67541" w14:textId="77777777" w:rsidR="00531A80" w:rsidRPr="008137D0" w:rsidRDefault="00531A80" w:rsidP="004D1BFD">
            <w:pPr>
              <w:spacing w:line="276" w:lineRule="auto"/>
              <w:jc w:val="center"/>
            </w:pPr>
            <w:r w:rsidRPr="008137D0">
              <w:t>SB1</w:t>
            </w:r>
          </w:p>
        </w:tc>
        <w:tc>
          <w:tcPr>
            <w:tcW w:w="2592" w:type="dxa"/>
            <w:shd w:val="clear" w:color="auto" w:fill="auto"/>
          </w:tcPr>
          <w:p w14:paraId="198D0799" w14:textId="77777777" w:rsidR="00531A80" w:rsidRPr="008137D0" w:rsidRDefault="00531A80" w:rsidP="004D1BFD">
            <w:pPr>
              <w:spacing w:line="276" w:lineRule="auto"/>
            </w:pPr>
            <w:r w:rsidRPr="008137D0">
              <w:t>White and green</w:t>
            </w:r>
          </w:p>
        </w:tc>
        <w:tc>
          <w:tcPr>
            <w:tcW w:w="1417" w:type="dxa"/>
            <w:shd w:val="clear" w:color="auto" w:fill="auto"/>
          </w:tcPr>
          <w:p w14:paraId="526928E9"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2753528E"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4292D83E" w14:textId="77777777" w:rsidR="00531A80" w:rsidRPr="008137D0" w:rsidRDefault="00531A80" w:rsidP="004D1BFD">
            <w:pPr>
              <w:spacing w:line="276" w:lineRule="auto"/>
              <w:jc w:val="center"/>
            </w:pPr>
            <w:r w:rsidRPr="008137D0">
              <w:t>Yes</w:t>
            </w:r>
          </w:p>
        </w:tc>
        <w:tc>
          <w:tcPr>
            <w:tcW w:w="1559" w:type="dxa"/>
          </w:tcPr>
          <w:p w14:paraId="167EA761" w14:textId="77777777" w:rsidR="00531A80" w:rsidRPr="008137D0" w:rsidRDefault="00531A80" w:rsidP="004D1BFD">
            <w:pPr>
              <w:spacing w:line="276" w:lineRule="auto"/>
              <w:jc w:val="center"/>
            </w:pPr>
            <w:r w:rsidRPr="008137D0">
              <w:t>Ampulliform</w:t>
            </w:r>
          </w:p>
        </w:tc>
        <w:tc>
          <w:tcPr>
            <w:tcW w:w="1135" w:type="dxa"/>
          </w:tcPr>
          <w:p w14:paraId="13E7FA73" w14:textId="77777777" w:rsidR="00531A80" w:rsidRPr="008137D0" w:rsidRDefault="00531A80" w:rsidP="004D1BFD">
            <w:pPr>
              <w:spacing w:line="276" w:lineRule="auto"/>
              <w:jc w:val="center"/>
            </w:pPr>
            <w:r w:rsidRPr="008137D0">
              <w:t>Globose</w:t>
            </w:r>
          </w:p>
        </w:tc>
        <w:tc>
          <w:tcPr>
            <w:tcW w:w="1559" w:type="dxa"/>
          </w:tcPr>
          <w:p w14:paraId="457FC8D2" w14:textId="77777777" w:rsidR="00531A80" w:rsidRPr="008137D0" w:rsidRDefault="00531A80" w:rsidP="004D1BFD">
            <w:pPr>
              <w:spacing w:line="276" w:lineRule="auto"/>
              <w:jc w:val="center"/>
            </w:pPr>
            <w:r w:rsidRPr="008137D0">
              <w:t>Yes</w:t>
            </w:r>
          </w:p>
        </w:tc>
        <w:tc>
          <w:tcPr>
            <w:tcW w:w="1276" w:type="dxa"/>
          </w:tcPr>
          <w:p w14:paraId="5247FF39" w14:textId="77777777" w:rsidR="00531A80" w:rsidRPr="008137D0" w:rsidRDefault="00531A80" w:rsidP="004D1BFD">
            <w:pPr>
              <w:spacing w:line="276" w:lineRule="auto"/>
              <w:jc w:val="center"/>
            </w:pPr>
            <w:r w:rsidRPr="008137D0">
              <w:t>Yes</w:t>
            </w:r>
          </w:p>
        </w:tc>
      </w:tr>
      <w:tr w:rsidR="00531A80" w:rsidRPr="008137D0" w14:paraId="08697C83" w14:textId="77777777" w:rsidTr="004D1BFD">
        <w:trPr>
          <w:trHeight w:val="294"/>
        </w:trPr>
        <w:tc>
          <w:tcPr>
            <w:tcW w:w="1236" w:type="dxa"/>
            <w:shd w:val="clear" w:color="auto" w:fill="auto"/>
          </w:tcPr>
          <w:p w14:paraId="22556E5A" w14:textId="77777777" w:rsidR="00531A80" w:rsidRPr="008137D0" w:rsidRDefault="00531A80" w:rsidP="004D1BFD">
            <w:pPr>
              <w:spacing w:line="276" w:lineRule="auto"/>
              <w:jc w:val="center"/>
            </w:pPr>
            <w:r w:rsidRPr="008137D0">
              <w:t>SB2</w:t>
            </w:r>
          </w:p>
        </w:tc>
        <w:tc>
          <w:tcPr>
            <w:tcW w:w="2592" w:type="dxa"/>
            <w:shd w:val="clear" w:color="auto" w:fill="auto"/>
          </w:tcPr>
          <w:p w14:paraId="42773408" w14:textId="77777777" w:rsidR="00531A80" w:rsidRPr="008137D0" w:rsidRDefault="00531A80" w:rsidP="004D1BFD">
            <w:pPr>
              <w:spacing w:line="276" w:lineRule="auto"/>
            </w:pPr>
            <w:r w:rsidRPr="008137D0">
              <w:t>White and yellowish green</w:t>
            </w:r>
          </w:p>
        </w:tc>
        <w:tc>
          <w:tcPr>
            <w:tcW w:w="1417" w:type="dxa"/>
            <w:shd w:val="clear" w:color="auto" w:fill="auto"/>
          </w:tcPr>
          <w:p w14:paraId="7213FFBA"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04468733" w14:textId="77777777" w:rsidR="00531A80" w:rsidRPr="008137D0" w:rsidRDefault="00531A80" w:rsidP="004D1BFD">
            <w:pPr>
              <w:spacing w:line="276" w:lineRule="auto"/>
              <w:jc w:val="center"/>
              <w:rPr>
                <w:iCs/>
              </w:rPr>
            </w:pPr>
            <w:r w:rsidRPr="008137D0">
              <w:rPr>
                <w:iCs/>
              </w:rPr>
              <w:t>Powdery</w:t>
            </w:r>
          </w:p>
        </w:tc>
        <w:tc>
          <w:tcPr>
            <w:tcW w:w="1559" w:type="dxa"/>
            <w:shd w:val="clear" w:color="auto" w:fill="auto"/>
          </w:tcPr>
          <w:p w14:paraId="20BD5020" w14:textId="77777777" w:rsidR="00531A80" w:rsidRPr="008137D0" w:rsidRDefault="00531A80" w:rsidP="004D1BFD">
            <w:pPr>
              <w:spacing w:line="276" w:lineRule="auto"/>
              <w:jc w:val="center"/>
            </w:pPr>
            <w:r w:rsidRPr="008137D0">
              <w:t>Yes</w:t>
            </w:r>
          </w:p>
        </w:tc>
        <w:tc>
          <w:tcPr>
            <w:tcW w:w="1559" w:type="dxa"/>
          </w:tcPr>
          <w:p w14:paraId="19B78FA1" w14:textId="77777777" w:rsidR="00531A80" w:rsidRPr="008137D0" w:rsidRDefault="00531A80" w:rsidP="004D1BFD">
            <w:pPr>
              <w:spacing w:line="276" w:lineRule="auto"/>
              <w:jc w:val="center"/>
            </w:pPr>
            <w:r w:rsidRPr="008137D0">
              <w:t>Ampulliform</w:t>
            </w:r>
          </w:p>
        </w:tc>
        <w:tc>
          <w:tcPr>
            <w:tcW w:w="1135" w:type="dxa"/>
          </w:tcPr>
          <w:p w14:paraId="320DC937" w14:textId="77777777" w:rsidR="00531A80" w:rsidRPr="008137D0" w:rsidRDefault="00531A80" w:rsidP="004D1BFD">
            <w:pPr>
              <w:spacing w:line="276" w:lineRule="auto"/>
              <w:jc w:val="center"/>
            </w:pPr>
            <w:r w:rsidRPr="008137D0">
              <w:t>Obovoid</w:t>
            </w:r>
          </w:p>
        </w:tc>
        <w:tc>
          <w:tcPr>
            <w:tcW w:w="1559" w:type="dxa"/>
          </w:tcPr>
          <w:p w14:paraId="55ECFF86" w14:textId="77777777" w:rsidR="00531A80" w:rsidRPr="008137D0" w:rsidRDefault="00531A80" w:rsidP="004D1BFD">
            <w:pPr>
              <w:spacing w:line="276" w:lineRule="auto"/>
              <w:jc w:val="center"/>
            </w:pPr>
            <w:r w:rsidRPr="008137D0">
              <w:t>Yes</w:t>
            </w:r>
          </w:p>
        </w:tc>
        <w:tc>
          <w:tcPr>
            <w:tcW w:w="1276" w:type="dxa"/>
          </w:tcPr>
          <w:p w14:paraId="00138888" w14:textId="77777777" w:rsidR="00531A80" w:rsidRPr="008137D0" w:rsidRDefault="00531A80" w:rsidP="004D1BFD">
            <w:pPr>
              <w:spacing w:line="276" w:lineRule="auto"/>
              <w:jc w:val="center"/>
            </w:pPr>
            <w:r w:rsidRPr="008137D0">
              <w:t>Yes</w:t>
            </w:r>
          </w:p>
        </w:tc>
      </w:tr>
      <w:tr w:rsidR="00531A80" w:rsidRPr="008137D0" w14:paraId="06FFF9EE" w14:textId="77777777" w:rsidTr="004D1BFD">
        <w:trPr>
          <w:trHeight w:val="294"/>
        </w:trPr>
        <w:tc>
          <w:tcPr>
            <w:tcW w:w="1236" w:type="dxa"/>
            <w:shd w:val="clear" w:color="auto" w:fill="auto"/>
          </w:tcPr>
          <w:p w14:paraId="51DA5C6C" w14:textId="77777777" w:rsidR="00531A80" w:rsidRPr="008137D0" w:rsidRDefault="00531A80" w:rsidP="004D1BFD">
            <w:pPr>
              <w:spacing w:line="276" w:lineRule="auto"/>
              <w:jc w:val="center"/>
            </w:pPr>
            <w:r w:rsidRPr="008137D0">
              <w:t>SB3</w:t>
            </w:r>
          </w:p>
        </w:tc>
        <w:tc>
          <w:tcPr>
            <w:tcW w:w="2592" w:type="dxa"/>
            <w:shd w:val="clear" w:color="auto" w:fill="auto"/>
          </w:tcPr>
          <w:p w14:paraId="41187086" w14:textId="77777777" w:rsidR="00531A80" w:rsidRPr="008137D0" w:rsidRDefault="00531A80" w:rsidP="004D1BFD">
            <w:pPr>
              <w:spacing w:line="276" w:lineRule="auto"/>
            </w:pPr>
            <w:r w:rsidRPr="008137D0">
              <w:t>White and green</w:t>
            </w:r>
          </w:p>
        </w:tc>
        <w:tc>
          <w:tcPr>
            <w:tcW w:w="1417" w:type="dxa"/>
            <w:shd w:val="clear" w:color="auto" w:fill="auto"/>
          </w:tcPr>
          <w:p w14:paraId="61A18B69"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0D6E26F8"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55D9BA2E" w14:textId="77777777" w:rsidR="00531A80" w:rsidRPr="008137D0" w:rsidRDefault="00531A80" w:rsidP="004D1BFD">
            <w:pPr>
              <w:spacing w:line="276" w:lineRule="auto"/>
              <w:jc w:val="center"/>
            </w:pPr>
            <w:r w:rsidRPr="008137D0">
              <w:t>No</w:t>
            </w:r>
          </w:p>
        </w:tc>
        <w:tc>
          <w:tcPr>
            <w:tcW w:w="1559" w:type="dxa"/>
          </w:tcPr>
          <w:p w14:paraId="1CC8587F" w14:textId="77777777" w:rsidR="00531A80" w:rsidRPr="008137D0" w:rsidRDefault="00531A80" w:rsidP="004D1BFD">
            <w:pPr>
              <w:spacing w:line="276" w:lineRule="auto"/>
              <w:jc w:val="center"/>
            </w:pPr>
            <w:r w:rsidRPr="008137D0">
              <w:t>Ampulliform</w:t>
            </w:r>
          </w:p>
        </w:tc>
        <w:tc>
          <w:tcPr>
            <w:tcW w:w="1135" w:type="dxa"/>
          </w:tcPr>
          <w:p w14:paraId="4CF7B52F" w14:textId="77777777" w:rsidR="00531A80" w:rsidRPr="008137D0" w:rsidRDefault="00531A80" w:rsidP="004D1BFD">
            <w:pPr>
              <w:spacing w:line="276" w:lineRule="auto"/>
              <w:jc w:val="center"/>
            </w:pPr>
            <w:r w:rsidRPr="008137D0">
              <w:t>Globose</w:t>
            </w:r>
          </w:p>
        </w:tc>
        <w:tc>
          <w:tcPr>
            <w:tcW w:w="1559" w:type="dxa"/>
          </w:tcPr>
          <w:p w14:paraId="55EEBCFD" w14:textId="77777777" w:rsidR="00531A80" w:rsidRPr="008137D0" w:rsidRDefault="00531A80" w:rsidP="004D1BFD">
            <w:pPr>
              <w:spacing w:line="276" w:lineRule="auto"/>
              <w:jc w:val="center"/>
            </w:pPr>
            <w:r w:rsidRPr="008137D0">
              <w:t>Yes</w:t>
            </w:r>
          </w:p>
        </w:tc>
        <w:tc>
          <w:tcPr>
            <w:tcW w:w="1276" w:type="dxa"/>
          </w:tcPr>
          <w:p w14:paraId="42D52BD9" w14:textId="77777777" w:rsidR="00531A80" w:rsidRPr="008137D0" w:rsidRDefault="00531A80" w:rsidP="004D1BFD">
            <w:pPr>
              <w:spacing w:line="276" w:lineRule="auto"/>
              <w:jc w:val="center"/>
            </w:pPr>
            <w:r w:rsidRPr="008137D0">
              <w:t>Yes</w:t>
            </w:r>
          </w:p>
        </w:tc>
      </w:tr>
      <w:tr w:rsidR="00531A80" w:rsidRPr="008137D0" w14:paraId="6BEB7AFB" w14:textId="77777777" w:rsidTr="004D1BFD">
        <w:trPr>
          <w:trHeight w:val="294"/>
        </w:trPr>
        <w:tc>
          <w:tcPr>
            <w:tcW w:w="1236" w:type="dxa"/>
            <w:shd w:val="clear" w:color="auto" w:fill="auto"/>
          </w:tcPr>
          <w:p w14:paraId="2523C7A0" w14:textId="77777777" w:rsidR="00531A80" w:rsidRPr="008137D0" w:rsidRDefault="00531A80" w:rsidP="004D1BFD">
            <w:pPr>
              <w:spacing w:line="276" w:lineRule="auto"/>
              <w:jc w:val="center"/>
            </w:pPr>
            <w:r w:rsidRPr="008137D0">
              <w:t>SB4</w:t>
            </w:r>
          </w:p>
        </w:tc>
        <w:tc>
          <w:tcPr>
            <w:tcW w:w="2592" w:type="dxa"/>
            <w:shd w:val="clear" w:color="auto" w:fill="auto"/>
          </w:tcPr>
          <w:p w14:paraId="68AE0663" w14:textId="77777777" w:rsidR="00531A80" w:rsidRPr="008137D0" w:rsidRDefault="00531A80" w:rsidP="004D1BFD">
            <w:pPr>
              <w:spacing w:line="276" w:lineRule="auto"/>
            </w:pPr>
            <w:r w:rsidRPr="008137D0">
              <w:t>White and green</w:t>
            </w:r>
          </w:p>
        </w:tc>
        <w:tc>
          <w:tcPr>
            <w:tcW w:w="1417" w:type="dxa"/>
            <w:shd w:val="clear" w:color="auto" w:fill="auto"/>
          </w:tcPr>
          <w:p w14:paraId="7737E5D1"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36788BAC"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49930BFE" w14:textId="77777777" w:rsidR="00531A80" w:rsidRPr="008137D0" w:rsidRDefault="00531A80" w:rsidP="004D1BFD">
            <w:pPr>
              <w:spacing w:line="276" w:lineRule="auto"/>
              <w:jc w:val="center"/>
            </w:pPr>
            <w:r w:rsidRPr="008137D0">
              <w:t>Yes</w:t>
            </w:r>
          </w:p>
        </w:tc>
        <w:tc>
          <w:tcPr>
            <w:tcW w:w="1559" w:type="dxa"/>
          </w:tcPr>
          <w:p w14:paraId="293FE631" w14:textId="77777777" w:rsidR="00531A80" w:rsidRPr="008137D0" w:rsidRDefault="00531A80" w:rsidP="004D1BFD">
            <w:pPr>
              <w:spacing w:line="276" w:lineRule="auto"/>
              <w:jc w:val="center"/>
            </w:pPr>
            <w:r w:rsidRPr="008137D0">
              <w:t>Ampulliform</w:t>
            </w:r>
          </w:p>
        </w:tc>
        <w:tc>
          <w:tcPr>
            <w:tcW w:w="1135" w:type="dxa"/>
          </w:tcPr>
          <w:p w14:paraId="136EB441" w14:textId="77777777" w:rsidR="00531A80" w:rsidRPr="008137D0" w:rsidRDefault="00531A80" w:rsidP="004D1BFD">
            <w:pPr>
              <w:spacing w:line="276" w:lineRule="auto"/>
              <w:jc w:val="center"/>
            </w:pPr>
            <w:r w:rsidRPr="008137D0">
              <w:t>Globose</w:t>
            </w:r>
          </w:p>
        </w:tc>
        <w:tc>
          <w:tcPr>
            <w:tcW w:w="1559" w:type="dxa"/>
          </w:tcPr>
          <w:p w14:paraId="1905DBE9" w14:textId="77777777" w:rsidR="00531A80" w:rsidRPr="008137D0" w:rsidRDefault="00531A80" w:rsidP="004D1BFD">
            <w:pPr>
              <w:spacing w:line="276" w:lineRule="auto"/>
              <w:jc w:val="center"/>
            </w:pPr>
            <w:r w:rsidRPr="008137D0">
              <w:t>Yes</w:t>
            </w:r>
          </w:p>
        </w:tc>
        <w:tc>
          <w:tcPr>
            <w:tcW w:w="1276" w:type="dxa"/>
          </w:tcPr>
          <w:p w14:paraId="10D23943" w14:textId="77777777" w:rsidR="00531A80" w:rsidRPr="008137D0" w:rsidRDefault="00531A80" w:rsidP="004D1BFD">
            <w:pPr>
              <w:spacing w:line="276" w:lineRule="auto"/>
              <w:jc w:val="center"/>
            </w:pPr>
            <w:r w:rsidRPr="008137D0">
              <w:t>Yes</w:t>
            </w:r>
          </w:p>
        </w:tc>
      </w:tr>
      <w:tr w:rsidR="00531A80" w:rsidRPr="008137D0" w14:paraId="7A8670E5" w14:textId="77777777" w:rsidTr="004D1BFD">
        <w:trPr>
          <w:trHeight w:val="294"/>
        </w:trPr>
        <w:tc>
          <w:tcPr>
            <w:tcW w:w="1236" w:type="dxa"/>
            <w:shd w:val="clear" w:color="auto" w:fill="auto"/>
          </w:tcPr>
          <w:p w14:paraId="43D9DF80" w14:textId="77777777" w:rsidR="00531A80" w:rsidRPr="008137D0" w:rsidRDefault="00531A80" w:rsidP="004D1BFD">
            <w:pPr>
              <w:spacing w:line="276" w:lineRule="auto"/>
              <w:jc w:val="center"/>
            </w:pPr>
            <w:r w:rsidRPr="008137D0">
              <w:t>SB5</w:t>
            </w:r>
          </w:p>
        </w:tc>
        <w:tc>
          <w:tcPr>
            <w:tcW w:w="2592" w:type="dxa"/>
            <w:shd w:val="clear" w:color="auto" w:fill="auto"/>
          </w:tcPr>
          <w:p w14:paraId="18601622" w14:textId="77777777" w:rsidR="00531A80" w:rsidRPr="008137D0" w:rsidRDefault="00531A80" w:rsidP="004D1BFD">
            <w:pPr>
              <w:spacing w:line="276" w:lineRule="auto"/>
            </w:pPr>
            <w:r w:rsidRPr="008137D0">
              <w:t>White and dark green</w:t>
            </w:r>
          </w:p>
        </w:tc>
        <w:tc>
          <w:tcPr>
            <w:tcW w:w="1417" w:type="dxa"/>
            <w:shd w:val="clear" w:color="auto" w:fill="auto"/>
          </w:tcPr>
          <w:p w14:paraId="393DC7A8" w14:textId="77777777" w:rsidR="00531A80" w:rsidRPr="008137D0" w:rsidRDefault="00531A80" w:rsidP="004D1BFD">
            <w:pPr>
              <w:spacing w:line="276" w:lineRule="auto"/>
              <w:jc w:val="center"/>
              <w:rPr>
                <w:iCs/>
              </w:rPr>
            </w:pPr>
            <w:r w:rsidRPr="008137D0">
              <w:rPr>
                <w:iCs/>
              </w:rPr>
              <w:t>Radiate</w:t>
            </w:r>
          </w:p>
        </w:tc>
        <w:tc>
          <w:tcPr>
            <w:tcW w:w="1134" w:type="dxa"/>
            <w:shd w:val="clear" w:color="auto" w:fill="auto"/>
          </w:tcPr>
          <w:p w14:paraId="12213F71"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208B8980" w14:textId="77777777" w:rsidR="00531A80" w:rsidRPr="008137D0" w:rsidRDefault="00531A80" w:rsidP="004D1BFD">
            <w:pPr>
              <w:spacing w:line="276" w:lineRule="auto"/>
              <w:jc w:val="center"/>
            </w:pPr>
            <w:r w:rsidRPr="008137D0">
              <w:t>No</w:t>
            </w:r>
          </w:p>
        </w:tc>
        <w:tc>
          <w:tcPr>
            <w:tcW w:w="1559" w:type="dxa"/>
          </w:tcPr>
          <w:p w14:paraId="2426B6DD" w14:textId="77777777" w:rsidR="00531A80" w:rsidRPr="008137D0" w:rsidRDefault="00531A80" w:rsidP="004D1BFD">
            <w:pPr>
              <w:spacing w:line="276" w:lineRule="auto"/>
              <w:jc w:val="center"/>
            </w:pPr>
            <w:r w:rsidRPr="008137D0">
              <w:t>Lageniform</w:t>
            </w:r>
          </w:p>
        </w:tc>
        <w:tc>
          <w:tcPr>
            <w:tcW w:w="1135" w:type="dxa"/>
          </w:tcPr>
          <w:p w14:paraId="7C41FB12" w14:textId="77777777" w:rsidR="00531A80" w:rsidRPr="008137D0" w:rsidRDefault="00531A80" w:rsidP="004D1BFD">
            <w:pPr>
              <w:spacing w:line="276" w:lineRule="auto"/>
              <w:jc w:val="center"/>
            </w:pPr>
            <w:r w:rsidRPr="008137D0">
              <w:t>Globose</w:t>
            </w:r>
          </w:p>
        </w:tc>
        <w:tc>
          <w:tcPr>
            <w:tcW w:w="1559" w:type="dxa"/>
          </w:tcPr>
          <w:p w14:paraId="0A49E9FD" w14:textId="77777777" w:rsidR="00531A80" w:rsidRPr="008137D0" w:rsidRDefault="00531A80" w:rsidP="004D1BFD">
            <w:pPr>
              <w:spacing w:line="276" w:lineRule="auto"/>
              <w:jc w:val="center"/>
            </w:pPr>
            <w:r w:rsidRPr="008137D0">
              <w:t>Yes</w:t>
            </w:r>
          </w:p>
        </w:tc>
        <w:tc>
          <w:tcPr>
            <w:tcW w:w="1276" w:type="dxa"/>
          </w:tcPr>
          <w:p w14:paraId="50A2398B" w14:textId="77777777" w:rsidR="00531A80" w:rsidRPr="008137D0" w:rsidRDefault="00531A80" w:rsidP="004D1BFD">
            <w:pPr>
              <w:spacing w:line="276" w:lineRule="auto"/>
              <w:jc w:val="center"/>
            </w:pPr>
            <w:r w:rsidRPr="008137D0">
              <w:t>Yes</w:t>
            </w:r>
          </w:p>
        </w:tc>
      </w:tr>
      <w:tr w:rsidR="00531A80" w:rsidRPr="008137D0" w14:paraId="41CE9972" w14:textId="77777777" w:rsidTr="004D1BFD">
        <w:trPr>
          <w:trHeight w:val="294"/>
        </w:trPr>
        <w:tc>
          <w:tcPr>
            <w:tcW w:w="1236" w:type="dxa"/>
            <w:shd w:val="clear" w:color="auto" w:fill="auto"/>
          </w:tcPr>
          <w:p w14:paraId="12A5F482" w14:textId="77777777" w:rsidR="00531A80" w:rsidRPr="008137D0" w:rsidRDefault="00531A80" w:rsidP="004D1BFD">
            <w:pPr>
              <w:spacing w:line="276" w:lineRule="auto"/>
              <w:jc w:val="center"/>
            </w:pPr>
            <w:r w:rsidRPr="008137D0">
              <w:t>SB6</w:t>
            </w:r>
          </w:p>
        </w:tc>
        <w:tc>
          <w:tcPr>
            <w:tcW w:w="2592" w:type="dxa"/>
            <w:shd w:val="clear" w:color="auto" w:fill="auto"/>
          </w:tcPr>
          <w:p w14:paraId="03A1E7B0" w14:textId="77777777" w:rsidR="00531A80" w:rsidRPr="008137D0" w:rsidRDefault="00531A80" w:rsidP="004D1BFD">
            <w:pPr>
              <w:spacing w:line="276" w:lineRule="auto"/>
            </w:pPr>
            <w:r w:rsidRPr="008137D0">
              <w:t>White and yellowish green</w:t>
            </w:r>
          </w:p>
        </w:tc>
        <w:tc>
          <w:tcPr>
            <w:tcW w:w="1417" w:type="dxa"/>
            <w:shd w:val="clear" w:color="auto" w:fill="auto"/>
          </w:tcPr>
          <w:p w14:paraId="7541F0D9"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7DC1B196" w14:textId="77777777" w:rsidR="00531A80" w:rsidRPr="008137D0" w:rsidRDefault="00531A80" w:rsidP="004D1BFD">
            <w:pPr>
              <w:spacing w:line="276" w:lineRule="auto"/>
              <w:jc w:val="center"/>
              <w:rPr>
                <w:iCs/>
              </w:rPr>
            </w:pPr>
            <w:r w:rsidRPr="008137D0">
              <w:rPr>
                <w:iCs/>
              </w:rPr>
              <w:t>Powdery</w:t>
            </w:r>
          </w:p>
        </w:tc>
        <w:tc>
          <w:tcPr>
            <w:tcW w:w="1559" w:type="dxa"/>
            <w:shd w:val="clear" w:color="auto" w:fill="auto"/>
          </w:tcPr>
          <w:p w14:paraId="0AC6B1F8" w14:textId="77777777" w:rsidR="00531A80" w:rsidRPr="008137D0" w:rsidRDefault="00531A80" w:rsidP="004D1BFD">
            <w:pPr>
              <w:spacing w:line="276" w:lineRule="auto"/>
              <w:jc w:val="center"/>
            </w:pPr>
            <w:r w:rsidRPr="008137D0">
              <w:t>Yes</w:t>
            </w:r>
          </w:p>
        </w:tc>
        <w:tc>
          <w:tcPr>
            <w:tcW w:w="1559" w:type="dxa"/>
          </w:tcPr>
          <w:p w14:paraId="03A62EEB" w14:textId="77777777" w:rsidR="00531A80" w:rsidRPr="008137D0" w:rsidRDefault="00531A80" w:rsidP="004D1BFD">
            <w:pPr>
              <w:spacing w:line="276" w:lineRule="auto"/>
              <w:jc w:val="center"/>
            </w:pPr>
            <w:r w:rsidRPr="008137D0">
              <w:t>Lageniform</w:t>
            </w:r>
          </w:p>
        </w:tc>
        <w:tc>
          <w:tcPr>
            <w:tcW w:w="1135" w:type="dxa"/>
          </w:tcPr>
          <w:p w14:paraId="1962AD36" w14:textId="77777777" w:rsidR="00531A80" w:rsidRPr="008137D0" w:rsidRDefault="00531A80" w:rsidP="004D1BFD">
            <w:pPr>
              <w:spacing w:line="276" w:lineRule="auto"/>
              <w:jc w:val="center"/>
            </w:pPr>
            <w:r w:rsidRPr="008137D0">
              <w:t>Globose</w:t>
            </w:r>
          </w:p>
        </w:tc>
        <w:tc>
          <w:tcPr>
            <w:tcW w:w="1559" w:type="dxa"/>
          </w:tcPr>
          <w:p w14:paraId="799BC129" w14:textId="77777777" w:rsidR="00531A80" w:rsidRPr="008137D0" w:rsidRDefault="00531A80" w:rsidP="004D1BFD">
            <w:pPr>
              <w:spacing w:line="276" w:lineRule="auto"/>
              <w:jc w:val="center"/>
            </w:pPr>
            <w:r w:rsidRPr="008137D0">
              <w:t>Yes</w:t>
            </w:r>
          </w:p>
        </w:tc>
        <w:tc>
          <w:tcPr>
            <w:tcW w:w="1276" w:type="dxa"/>
          </w:tcPr>
          <w:p w14:paraId="674E4C36" w14:textId="77777777" w:rsidR="00531A80" w:rsidRPr="008137D0" w:rsidRDefault="00531A80" w:rsidP="004D1BFD">
            <w:pPr>
              <w:spacing w:line="276" w:lineRule="auto"/>
              <w:jc w:val="center"/>
            </w:pPr>
            <w:r w:rsidRPr="008137D0">
              <w:t>Yes</w:t>
            </w:r>
          </w:p>
        </w:tc>
      </w:tr>
      <w:tr w:rsidR="00531A80" w:rsidRPr="008137D0" w14:paraId="1872AE8C" w14:textId="77777777" w:rsidTr="004D1BFD">
        <w:trPr>
          <w:trHeight w:val="294"/>
        </w:trPr>
        <w:tc>
          <w:tcPr>
            <w:tcW w:w="1236" w:type="dxa"/>
            <w:shd w:val="clear" w:color="auto" w:fill="auto"/>
          </w:tcPr>
          <w:p w14:paraId="2DE17E7C" w14:textId="77777777" w:rsidR="00531A80" w:rsidRPr="008137D0" w:rsidRDefault="00531A80" w:rsidP="004D1BFD">
            <w:pPr>
              <w:spacing w:line="276" w:lineRule="auto"/>
              <w:jc w:val="center"/>
            </w:pPr>
            <w:r w:rsidRPr="008137D0">
              <w:t>SB7</w:t>
            </w:r>
          </w:p>
        </w:tc>
        <w:tc>
          <w:tcPr>
            <w:tcW w:w="2592" w:type="dxa"/>
            <w:shd w:val="clear" w:color="auto" w:fill="auto"/>
          </w:tcPr>
          <w:p w14:paraId="3EBE2D3E" w14:textId="77777777" w:rsidR="00531A80" w:rsidRPr="008137D0" w:rsidRDefault="00531A80" w:rsidP="004D1BFD">
            <w:pPr>
              <w:spacing w:line="276" w:lineRule="auto"/>
            </w:pPr>
            <w:r w:rsidRPr="008137D0">
              <w:t>White and green</w:t>
            </w:r>
          </w:p>
        </w:tc>
        <w:tc>
          <w:tcPr>
            <w:tcW w:w="1417" w:type="dxa"/>
            <w:shd w:val="clear" w:color="auto" w:fill="auto"/>
          </w:tcPr>
          <w:p w14:paraId="20DA8755"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7A867941"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13E6A75B" w14:textId="77777777" w:rsidR="00531A80" w:rsidRPr="008137D0" w:rsidRDefault="00531A80" w:rsidP="004D1BFD">
            <w:pPr>
              <w:spacing w:line="276" w:lineRule="auto"/>
              <w:jc w:val="center"/>
            </w:pPr>
            <w:r w:rsidRPr="008137D0">
              <w:t>No</w:t>
            </w:r>
          </w:p>
        </w:tc>
        <w:tc>
          <w:tcPr>
            <w:tcW w:w="1559" w:type="dxa"/>
          </w:tcPr>
          <w:p w14:paraId="12AF018A" w14:textId="77777777" w:rsidR="00531A80" w:rsidRPr="008137D0" w:rsidRDefault="00531A80" w:rsidP="004D1BFD">
            <w:pPr>
              <w:spacing w:line="276" w:lineRule="auto"/>
              <w:jc w:val="center"/>
            </w:pPr>
            <w:r w:rsidRPr="008137D0">
              <w:t>Ampulliform</w:t>
            </w:r>
          </w:p>
        </w:tc>
        <w:tc>
          <w:tcPr>
            <w:tcW w:w="1135" w:type="dxa"/>
          </w:tcPr>
          <w:p w14:paraId="5EDAB671" w14:textId="77777777" w:rsidR="00531A80" w:rsidRPr="008137D0" w:rsidRDefault="00531A80" w:rsidP="004D1BFD">
            <w:pPr>
              <w:spacing w:line="276" w:lineRule="auto"/>
              <w:jc w:val="center"/>
            </w:pPr>
            <w:r w:rsidRPr="008137D0">
              <w:t>Globose</w:t>
            </w:r>
          </w:p>
        </w:tc>
        <w:tc>
          <w:tcPr>
            <w:tcW w:w="1559" w:type="dxa"/>
          </w:tcPr>
          <w:p w14:paraId="0795E672" w14:textId="77777777" w:rsidR="00531A80" w:rsidRPr="008137D0" w:rsidRDefault="00531A80" w:rsidP="004D1BFD">
            <w:pPr>
              <w:spacing w:line="276" w:lineRule="auto"/>
              <w:jc w:val="center"/>
            </w:pPr>
            <w:r w:rsidRPr="008137D0">
              <w:t>Yes</w:t>
            </w:r>
          </w:p>
        </w:tc>
        <w:tc>
          <w:tcPr>
            <w:tcW w:w="1276" w:type="dxa"/>
          </w:tcPr>
          <w:p w14:paraId="1CB64B47" w14:textId="77777777" w:rsidR="00531A80" w:rsidRPr="008137D0" w:rsidRDefault="00531A80" w:rsidP="004D1BFD">
            <w:pPr>
              <w:spacing w:line="276" w:lineRule="auto"/>
              <w:jc w:val="center"/>
            </w:pPr>
            <w:r w:rsidRPr="008137D0">
              <w:t>Yes</w:t>
            </w:r>
          </w:p>
        </w:tc>
      </w:tr>
      <w:tr w:rsidR="00531A80" w:rsidRPr="008137D0" w14:paraId="750AA91D" w14:textId="77777777" w:rsidTr="004D1BFD">
        <w:trPr>
          <w:trHeight w:val="284"/>
        </w:trPr>
        <w:tc>
          <w:tcPr>
            <w:tcW w:w="1236" w:type="dxa"/>
            <w:shd w:val="clear" w:color="auto" w:fill="auto"/>
          </w:tcPr>
          <w:p w14:paraId="029EFCD7" w14:textId="77777777" w:rsidR="00531A80" w:rsidRPr="008137D0" w:rsidRDefault="00531A80" w:rsidP="004D1BFD">
            <w:pPr>
              <w:spacing w:line="276" w:lineRule="auto"/>
              <w:jc w:val="center"/>
            </w:pPr>
            <w:r w:rsidRPr="008137D0">
              <w:t>SB8</w:t>
            </w:r>
          </w:p>
        </w:tc>
        <w:tc>
          <w:tcPr>
            <w:tcW w:w="2592" w:type="dxa"/>
            <w:shd w:val="clear" w:color="auto" w:fill="auto"/>
          </w:tcPr>
          <w:p w14:paraId="28567EA0" w14:textId="77777777" w:rsidR="00531A80" w:rsidRPr="008137D0" w:rsidRDefault="00531A80" w:rsidP="004D1BFD">
            <w:pPr>
              <w:spacing w:line="276" w:lineRule="auto"/>
            </w:pPr>
            <w:r w:rsidRPr="008137D0">
              <w:t>White and green</w:t>
            </w:r>
          </w:p>
        </w:tc>
        <w:tc>
          <w:tcPr>
            <w:tcW w:w="1417" w:type="dxa"/>
            <w:shd w:val="clear" w:color="auto" w:fill="auto"/>
          </w:tcPr>
          <w:p w14:paraId="194494A6"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77076A96"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7290E4DD" w14:textId="77777777" w:rsidR="00531A80" w:rsidRPr="008137D0" w:rsidRDefault="00531A80" w:rsidP="004D1BFD">
            <w:pPr>
              <w:spacing w:line="276" w:lineRule="auto"/>
              <w:jc w:val="center"/>
            </w:pPr>
            <w:r w:rsidRPr="008137D0">
              <w:t>No</w:t>
            </w:r>
          </w:p>
        </w:tc>
        <w:tc>
          <w:tcPr>
            <w:tcW w:w="1559" w:type="dxa"/>
          </w:tcPr>
          <w:p w14:paraId="3BA8F389" w14:textId="77777777" w:rsidR="00531A80" w:rsidRPr="008137D0" w:rsidRDefault="00531A80" w:rsidP="004D1BFD">
            <w:pPr>
              <w:spacing w:line="276" w:lineRule="auto"/>
              <w:jc w:val="center"/>
            </w:pPr>
            <w:r w:rsidRPr="008137D0">
              <w:t>Ampulliform</w:t>
            </w:r>
          </w:p>
        </w:tc>
        <w:tc>
          <w:tcPr>
            <w:tcW w:w="1135" w:type="dxa"/>
          </w:tcPr>
          <w:p w14:paraId="5B93B558" w14:textId="77777777" w:rsidR="00531A80" w:rsidRPr="008137D0" w:rsidRDefault="00531A80" w:rsidP="004D1BFD">
            <w:pPr>
              <w:spacing w:line="276" w:lineRule="auto"/>
              <w:jc w:val="center"/>
            </w:pPr>
            <w:r w:rsidRPr="008137D0">
              <w:t>Obovoid</w:t>
            </w:r>
          </w:p>
        </w:tc>
        <w:tc>
          <w:tcPr>
            <w:tcW w:w="1559" w:type="dxa"/>
          </w:tcPr>
          <w:p w14:paraId="4CA0E45C" w14:textId="77777777" w:rsidR="00531A80" w:rsidRPr="008137D0" w:rsidRDefault="00531A80" w:rsidP="004D1BFD">
            <w:pPr>
              <w:spacing w:line="276" w:lineRule="auto"/>
              <w:jc w:val="center"/>
            </w:pPr>
            <w:r w:rsidRPr="008137D0">
              <w:t>Yes</w:t>
            </w:r>
          </w:p>
        </w:tc>
        <w:tc>
          <w:tcPr>
            <w:tcW w:w="1276" w:type="dxa"/>
          </w:tcPr>
          <w:p w14:paraId="53656CC5" w14:textId="77777777" w:rsidR="00531A80" w:rsidRPr="008137D0" w:rsidRDefault="00531A80" w:rsidP="004D1BFD">
            <w:pPr>
              <w:spacing w:line="276" w:lineRule="auto"/>
              <w:jc w:val="center"/>
            </w:pPr>
            <w:r w:rsidRPr="008137D0">
              <w:t>Yes</w:t>
            </w:r>
          </w:p>
        </w:tc>
      </w:tr>
      <w:tr w:rsidR="00531A80" w:rsidRPr="008137D0" w14:paraId="3893F527" w14:textId="77777777" w:rsidTr="004D1BFD">
        <w:trPr>
          <w:trHeight w:val="294"/>
        </w:trPr>
        <w:tc>
          <w:tcPr>
            <w:tcW w:w="1236" w:type="dxa"/>
            <w:shd w:val="clear" w:color="auto" w:fill="auto"/>
          </w:tcPr>
          <w:p w14:paraId="3506BECA" w14:textId="77777777" w:rsidR="00531A80" w:rsidRPr="008137D0" w:rsidRDefault="00531A80" w:rsidP="004D1BFD">
            <w:pPr>
              <w:spacing w:line="276" w:lineRule="auto"/>
              <w:jc w:val="center"/>
            </w:pPr>
            <w:r w:rsidRPr="008137D0">
              <w:t>SB9</w:t>
            </w:r>
          </w:p>
        </w:tc>
        <w:tc>
          <w:tcPr>
            <w:tcW w:w="2592" w:type="dxa"/>
            <w:shd w:val="clear" w:color="auto" w:fill="auto"/>
          </w:tcPr>
          <w:p w14:paraId="5ED20B98" w14:textId="77777777" w:rsidR="00531A80" w:rsidRPr="008137D0" w:rsidRDefault="00531A80" w:rsidP="004D1BFD">
            <w:pPr>
              <w:spacing w:line="276" w:lineRule="auto"/>
            </w:pPr>
            <w:r w:rsidRPr="008137D0">
              <w:t>White and yellowish green</w:t>
            </w:r>
          </w:p>
        </w:tc>
        <w:tc>
          <w:tcPr>
            <w:tcW w:w="1417" w:type="dxa"/>
            <w:shd w:val="clear" w:color="auto" w:fill="auto"/>
          </w:tcPr>
          <w:p w14:paraId="3B13B99C"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7EC46504" w14:textId="77777777" w:rsidR="00531A80" w:rsidRPr="008137D0" w:rsidRDefault="00531A80" w:rsidP="004D1BFD">
            <w:pPr>
              <w:spacing w:line="276" w:lineRule="auto"/>
              <w:jc w:val="center"/>
              <w:rPr>
                <w:iCs/>
              </w:rPr>
            </w:pPr>
            <w:r w:rsidRPr="008137D0">
              <w:rPr>
                <w:iCs/>
              </w:rPr>
              <w:t>Powdery</w:t>
            </w:r>
          </w:p>
        </w:tc>
        <w:tc>
          <w:tcPr>
            <w:tcW w:w="1559" w:type="dxa"/>
            <w:shd w:val="clear" w:color="auto" w:fill="auto"/>
          </w:tcPr>
          <w:p w14:paraId="4F64585E" w14:textId="77777777" w:rsidR="00531A80" w:rsidRPr="008137D0" w:rsidRDefault="00531A80" w:rsidP="004D1BFD">
            <w:pPr>
              <w:spacing w:line="276" w:lineRule="auto"/>
              <w:jc w:val="center"/>
            </w:pPr>
            <w:r w:rsidRPr="008137D0">
              <w:t>Yes</w:t>
            </w:r>
          </w:p>
        </w:tc>
        <w:tc>
          <w:tcPr>
            <w:tcW w:w="1559" w:type="dxa"/>
          </w:tcPr>
          <w:p w14:paraId="579EE92F" w14:textId="77777777" w:rsidR="00531A80" w:rsidRPr="008137D0" w:rsidRDefault="00531A80" w:rsidP="004D1BFD">
            <w:pPr>
              <w:spacing w:line="276" w:lineRule="auto"/>
              <w:jc w:val="center"/>
            </w:pPr>
            <w:r w:rsidRPr="008137D0">
              <w:t>Ampulliform</w:t>
            </w:r>
          </w:p>
        </w:tc>
        <w:tc>
          <w:tcPr>
            <w:tcW w:w="1135" w:type="dxa"/>
          </w:tcPr>
          <w:p w14:paraId="0664A484" w14:textId="77777777" w:rsidR="00531A80" w:rsidRPr="008137D0" w:rsidRDefault="00531A80" w:rsidP="004D1BFD">
            <w:pPr>
              <w:spacing w:line="276" w:lineRule="auto"/>
              <w:jc w:val="center"/>
            </w:pPr>
            <w:r w:rsidRPr="008137D0">
              <w:t>Globose</w:t>
            </w:r>
          </w:p>
        </w:tc>
        <w:tc>
          <w:tcPr>
            <w:tcW w:w="1559" w:type="dxa"/>
          </w:tcPr>
          <w:p w14:paraId="5E0819C4" w14:textId="77777777" w:rsidR="00531A80" w:rsidRPr="008137D0" w:rsidRDefault="00531A80" w:rsidP="004D1BFD">
            <w:pPr>
              <w:spacing w:line="276" w:lineRule="auto"/>
              <w:jc w:val="center"/>
            </w:pPr>
            <w:r w:rsidRPr="008137D0">
              <w:t>Yes</w:t>
            </w:r>
          </w:p>
        </w:tc>
        <w:tc>
          <w:tcPr>
            <w:tcW w:w="1276" w:type="dxa"/>
          </w:tcPr>
          <w:p w14:paraId="77D16EC8" w14:textId="77777777" w:rsidR="00531A80" w:rsidRPr="008137D0" w:rsidRDefault="00531A80" w:rsidP="004D1BFD">
            <w:pPr>
              <w:spacing w:line="276" w:lineRule="auto"/>
              <w:jc w:val="center"/>
            </w:pPr>
            <w:r w:rsidRPr="008137D0">
              <w:t>Yes</w:t>
            </w:r>
          </w:p>
        </w:tc>
      </w:tr>
      <w:tr w:rsidR="00531A80" w:rsidRPr="008137D0" w14:paraId="7790A315" w14:textId="77777777" w:rsidTr="004D1BFD">
        <w:trPr>
          <w:trHeight w:val="294"/>
        </w:trPr>
        <w:tc>
          <w:tcPr>
            <w:tcW w:w="1236" w:type="dxa"/>
            <w:shd w:val="clear" w:color="auto" w:fill="auto"/>
          </w:tcPr>
          <w:p w14:paraId="1F30B4CF" w14:textId="77777777" w:rsidR="00531A80" w:rsidRPr="008137D0" w:rsidRDefault="00531A80" w:rsidP="004D1BFD">
            <w:pPr>
              <w:spacing w:line="276" w:lineRule="auto"/>
              <w:jc w:val="center"/>
            </w:pPr>
            <w:r w:rsidRPr="008137D0">
              <w:t>SB10</w:t>
            </w:r>
          </w:p>
        </w:tc>
        <w:tc>
          <w:tcPr>
            <w:tcW w:w="2592" w:type="dxa"/>
            <w:shd w:val="clear" w:color="auto" w:fill="auto"/>
          </w:tcPr>
          <w:p w14:paraId="2A95224C" w14:textId="77777777" w:rsidR="00531A80" w:rsidRPr="008137D0" w:rsidRDefault="00531A80" w:rsidP="004D1BFD">
            <w:pPr>
              <w:spacing w:line="276" w:lineRule="auto"/>
            </w:pPr>
            <w:r w:rsidRPr="008137D0">
              <w:t>White and dark green</w:t>
            </w:r>
          </w:p>
        </w:tc>
        <w:tc>
          <w:tcPr>
            <w:tcW w:w="1417" w:type="dxa"/>
            <w:shd w:val="clear" w:color="auto" w:fill="auto"/>
          </w:tcPr>
          <w:p w14:paraId="365180D2" w14:textId="77777777" w:rsidR="00531A80" w:rsidRPr="008137D0" w:rsidRDefault="00531A80" w:rsidP="004D1BFD">
            <w:pPr>
              <w:spacing w:line="276" w:lineRule="auto"/>
              <w:jc w:val="center"/>
              <w:rPr>
                <w:iCs/>
              </w:rPr>
            </w:pPr>
            <w:r w:rsidRPr="008137D0">
              <w:rPr>
                <w:iCs/>
              </w:rPr>
              <w:t>Radiate</w:t>
            </w:r>
          </w:p>
        </w:tc>
        <w:tc>
          <w:tcPr>
            <w:tcW w:w="1134" w:type="dxa"/>
            <w:shd w:val="clear" w:color="auto" w:fill="auto"/>
          </w:tcPr>
          <w:p w14:paraId="6FC7CF81"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5F70722F" w14:textId="77777777" w:rsidR="00531A80" w:rsidRPr="008137D0" w:rsidRDefault="00531A80" w:rsidP="004D1BFD">
            <w:pPr>
              <w:spacing w:line="276" w:lineRule="auto"/>
              <w:jc w:val="center"/>
            </w:pPr>
            <w:r w:rsidRPr="008137D0">
              <w:t>Yes</w:t>
            </w:r>
          </w:p>
        </w:tc>
        <w:tc>
          <w:tcPr>
            <w:tcW w:w="1559" w:type="dxa"/>
          </w:tcPr>
          <w:p w14:paraId="77D96BAF" w14:textId="77777777" w:rsidR="00531A80" w:rsidRPr="008137D0" w:rsidRDefault="00531A80" w:rsidP="004D1BFD">
            <w:pPr>
              <w:spacing w:line="276" w:lineRule="auto"/>
              <w:jc w:val="center"/>
            </w:pPr>
            <w:r w:rsidRPr="008137D0">
              <w:t>Lageniform</w:t>
            </w:r>
          </w:p>
        </w:tc>
        <w:tc>
          <w:tcPr>
            <w:tcW w:w="1135" w:type="dxa"/>
          </w:tcPr>
          <w:p w14:paraId="6B050704" w14:textId="77777777" w:rsidR="00531A80" w:rsidRPr="008137D0" w:rsidRDefault="00531A80" w:rsidP="004D1BFD">
            <w:pPr>
              <w:spacing w:line="276" w:lineRule="auto"/>
              <w:jc w:val="center"/>
            </w:pPr>
            <w:r w:rsidRPr="008137D0">
              <w:t>Globose</w:t>
            </w:r>
          </w:p>
        </w:tc>
        <w:tc>
          <w:tcPr>
            <w:tcW w:w="1559" w:type="dxa"/>
          </w:tcPr>
          <w:p w14:paraId="3AEB1AC4" w14:textId="77777777" w:rsidR="00531A80" w:rsidRPr="008137D0" w:rsidRDefault="00531A80" w:rsidP="004D1BFD">
            <w:pPr>
              <w:spacing w:line="276" w:lineRule="auto"/>
              <w:jc w:val="center"/>
            </w:pPr>
            <w:r w:rsidRPr="008137D0">
              <w:t>Yes</w:t>
            </w:r>
          </w:p>
        </w:tc>
        <w:tc>
          <w:tcPr>
            <w:tcW w:w="1276" w:type="dxa"/>
          </w:tcPr>
          <w:p w14:paraId="686EA3D9" w14:textId="77777777" w:rsidR="00531A80" w:rsidRPr="008137D0" w:rsidRDefault="00531A80" w:rsidP="004D1BFD">
            <w:pPr>
              <w:spacing w:line="276" w:lineRule="auto"/>
              <w:jc w:val="center"/>
            </w:pPr>
            <w:r w:rsidRPr="008137D0">
              <w:t>Yes</w:t>
            </w:r>
          </w:p>
        </w:tc>
      </w:tr>
      <w:tr w:rsidR="00531A80" w:rsidRPr="008137D0" w14:paraId="008FEDBE" w14:textId="77777777" w:rsidTr="004D1BFD">
        <w:trPr>
          <w:trHeight w:val="294"/>
        </w:trPr>
        <w:tc>
          <w:tcPr>
            <w:tcW w:w="1236" w:type="dxa"/>
            <w:shd w:val="clear" w:color="auto" w:fill="auto"/>
          </w:tcPr>
          <w:p w14:paraId="02CD4203" w14:textId="77777777" w:rsidR="00531A80" w:rsidRPr="008137D0" w:rsidRDefault="00531A80" w:rsidP="004D1BFD">
            <w:pPr>
              <w:spacing w:line="276" w:lineRule="auto"/>
              <w:jc w:val="center"/>
            </w:pPr>
            <w:r w:rsidRPr="008137D0">
              <w:t>SB11</w:t>
            </w:r>
          </w:p>
        </w:tc>
        <w:tc>
          <w:tcPr>
            <w:tcW w:w="2592" w:type="dxa"/>
            <w:shd w:val="clear" w:color="auto" w:fill="auto"/>
          </w:tcPr>
          <w:p w14:paraId="176A176D" w14:textId="77777777" w:rsidR="00531A80" w:rsidRPr="008137D0" w:rsidRDefault="00531A80" w:rsidP="004D1BFD">
            <w:pPr>
              <w:spacing w:line="276" w:lineRule="auto"/>
            </w:pPr>
            <w:r w:rsidRPr="008137D0">
              <w:t>White and yellowish green</w:t>
            </w:r>
          </w:p>
        </w:tc>
        <w:tc>
          <w:tcPr>
            <w:tcW w:w="1417" w:type="dxa"/>
            <w:shd w:val="clear" w:color="auto" w:fill="auto"/>
          </w:tcPr>
          <w:p w14:paraId="5C117C20"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25D3CC11" w14:textId="77777777" w:rsidR="00531A80" w:rsidRPr="008137D0" w:rsidRDefault="00531A80" w:rsidP="004D1BFD">
            <w:pPr>
              <w:spacing w:line="276" w:lineRule="auto"/>
              <w:jc w:val="center"/>
              <w:rPr>
                <w:iCs/>
              </w:rPr>
            </w:pPr>
            <w:r w:rsidRPr="008137D0">
              <w:rPr>
                <w:iCs/>
              </w:rPr>
              <w:t>Powdery</w:t>
            </w:r>
          </w:p>
        </w:tc>
        <w:tc>
          <w:tcPr>
            <w:tcW w:w="1559" w:type="dxa"/>
            <w:shd w:val="clear" w:color="auto" w:fill="auto"/>
          </w:tcPr>
          <w:p w14:paraId="494865FE" w14:textId="77777777" w:rsidR="00531A80" w:rsidRPr="008137D0" w:rsidRDefault="00531A80" w:rsidP="004D1BFD">
            <w:pPr>
              <w:spacing w:line="276" w:lineRule="auto"/>
              <w:jc w:val="center"/>
            </w:pPr>
            <w:r w:rsidRPr="008137D0">
              <w:t>Yes</w:t>
            </w:r>
          </w:p>
        </w:tc>
        <w:tc>
          <w:tcPr>
            <w:tcW w:w="1559" w:type="dxa"/>
          </w:tcPr>
          <w:p w14:paraId="797D957D" w14:textId="77777777" w:rsidR="00531A80" w:rsidRPr="008137D0" w:rsidRDefault="00531A80" w:rsidP="004D1BFD">
            <w:pPr>
              <w:spacing w:line="276" w:lineRule="auto"/>
              <w:jc w:val="center"/>
            </w:pPr>
            <w:r w:rsidRPr="008137D0">
              <w:t>Lageniform</w:t>
            </w:r>
          </w:p>
        </w:tc>
        <w:tc>
          <w:tcPr>
            <w:tcW w:w="1135" w:type="dxa"/>
          </w:tcPr>
          <w:p w14:paraId="61DCE2E8" w14:textId="77777777" w:rsidR="00531A80" w:rsidRPr="008137D0" w:rsidRDefault="00531A80" w:rsidP="004D1BFD">
            <w:pPr>
              <w:spacing w:line="276" w:lineRule="auto"/>
              <w:jc w:val="center"/>
            </w:pPr>
            <w:r w:rsidRPr="008137D0">
              <w:t>Obovoid</w:t>
            </w:r>
          </w:p>
        </w:tc>
        <w:tc>
          <w:tcPr>
            <w:tcW w:w="1559" w:type="dxa"/>
          </w:tcPr>
          <w:p w14:paraId="71F9B9EA" w14:textId="77777777" w:rsidR="00531A80" w:rsidRPr="008137D0" w:rsidRDefault="00531A80" w:rsidP="004D1BFD">
            <w:pPr>
              <w:spacing w:line="276" w:lineRule="auto"/>
              <w:jc w:val="center"/>
            </w:pPr>
            <w:r w:rsidRPr="008137D0">
              <w:t>Yes</w:t>
            </w:r>
          </w:p>
        </w:tc>
        <w:tc>
          <w:tcPr>
            <w:tcW w:w="1276" w:type="dxa"/>
          </w:tcPr>
          <w:p w14:paraId="145E4BD5" w14:textId="77777777" w:rsidR="00531A80" w:rsidRPr="008137D0" w:rsidRDefault="00531A80" w:rsidP="004D1BFD">
            <w:pPr>
              <w:spacing w:line="276" w:lineRule="auto"/>
              <w:jc w:val="center"/>
            </w:pPr>
            <w:r w:rsidRPr="008137D0">
              <w:t>Yes</w:t>
            </w:r>
          </w:p>
        </w:tc>
      </w:tr>
      <w:tr w:rsidR="00531A80" w:rsidRPr="008137D0" w14:paraId="57589AD7" w14:textId="77777777" w:rsidTr="004D1BFD">
        <w:trPr>
          <w:trHeight w:val="294"/>
        </w:trPr>
        <w:tc>
          <w:tcPr>
            <w:tcW w:w="1236" w:type="dxa"/>
            <w:shd w:val="clear" w:color="auto" w:fill="auto"/>
          </w:tcPr>
          <w:p w14:paraId="2CA050D1" w14:textId="77777777" w:rsidR="00531A80" w:rsidRPr="008137D0" w:rsidRDefault="00531A80" w:rsidP="004D1BFD">
            <w:pPr>
              <w:spacing w:line="276" w:lineRule="auto"/>
              <w:jc w:val="center"/>
            </w:pPr>
            <w:r w:rsidRPr="008137D0">
              <w:lastRenderedPageBreak/>
              <w:t>SB12</w:t>
            </w:r>
          </w:p>
        </w:tc>
        <w:tc>
          <w:tcPr>
            <w:tcW w:w="2592" w:type="dxa"/>
            <w:shd w:val="clear" w:color="auto" w:fill="auto"/>
          </w:tcPr>
          <w:p w14:paraId="1D491DA6" w14:textId="77777777" w:rsidR="00531A80" w:rsidRPr="008137D0" w:rsidRDefault="00531A80" w:rsidP="004D1BFD">
            <w:pPr>
              <w:spacing w:line="276" w:lineRule="auto"/>
            </w:pPr>
            <w:r w:rsidRPr="008137D0">
              <w:t>White and green</w:t>
            </w:r>
          </w:p>
        </w:tc>
        <w:tc>
          <w:tcPr>
            <w:tcW w:w="1417" w:type="dxa"/>
            <w:shd w:val="clear" w:color="auto" w:fill="auto"/>
          </w:tcPr>
          <w:p w14:paraId="19031F5E"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27D721DE"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033B1323" w14:textId="77777777" w:rsidR="00531A80" w:rsidRPr="008137D0" w:rsidRDefault="00531A80" w:rsidP="004D1BFD">
            <w:pPr>
              <w:spacing w:line="276" w:lineRule="auto"/>
              <w:jc w:val="center"/>
            </w:pPr>
            <w:r w:rsidRPr="008137D0">
              <w:t>Yes</w:t>
            </w:r>
          </w:p>
        </w:tc>
        <w:tc>
          <w:tcPr>
            <w:tcW w:w="1559" w:type="dxa"/>
          </w:tcPr>
          <w:p w14:paraId="0C59DA81" w14:textId="77777777" w:rsidR="00531A80" w:rsidRPr="008137D0" w:rsidRDefault="00531A80" w:rsidP="004D1BFD">
            <w:pPr>
              <w:spacing w:line="276" w:lineRule="auto"/>
              <w:jc w:val="center"/>
            </w:pPr>
            <w:r w:rsidRPr="008137D0">
              <w:t>Ampulliform</w:t>
            </w:r>
          </w:p>
        </w:tc>
        <w:tc>
          <w:tcPr>
            <w:tcW w:w="1135" w:type="dxa"/>
          </w:tcPr>
          <w:p w14:paraId="6E204C36" w14:textId="77777777" w:rsidR="00531A80" w:rsidRPr="008137D0" w:rsidRDefault="00531A80" w:rsidP="004D1BFD">
            <w:pPr>
              <w:spacing w:line="276" w:lineRule="auto"/>
              <w:jc w:val="center"/>
            </w:pPr>
            <w:r w:rsidRPr="008137D0">
              <w:t>Globose</w:t>
            </w:r>
          </w:p>
        </w:tc>
        <w:tc>
          <w:tcPr>
            <w:tcW w:w="1559" w:type="dxa"/>
          </w:tcPr>
          <w:p w14:paraId="6818956D" w14:textId="77777777" w:rsidR="00531A80" w:rsidRPr="008137D0" w:rsidRDefault="00531A80" w:rsidP="004D1BFD">
            <w:pPr>
              <w:spacing w:line="276" w:lineRule="auto"/>
              <w:jc w:val="center"/>
            </w:pPr>
            <w:r w:rsidRPr="008137D0">
              <w:t>Yes</w:t>
            </w:r>
          </w:p>
        </w:tc>
        <w:tc>
          <w:tcPr>
            <w:tcW w:w="1276" w:type="dxa"/>
          </w:tcPr>
          <w:p w14:paraId="1229596E" w14:textId="77777777" w:rsidR="00531A80" w:rsidRPr="008137D0" w:rsidRDefault="00531A80" w:rsidP="004D1BFD">
            <w:pPr>
              <w:spacing w:line="276" w:lineRule="auto"/>
              <w:jc w:val="center"/>
            </w:pPr>
            <w:r w:rsidRPr="008137D0">
              <w:t>Yes</w:t>
            </w:r>
          </w:p>
        </w:tc>
      </w:tr>
      <w:tr w:rsidR="00531A80" w:rsidRPr="008137D0" w14:paraId="3033D151" w14:textId="77777777" w:rsidTr="004D1BFD">
        <w:trPr>
          <w:trHeight w:val="294"/>
        </w:trPr>
        <w:tc>
          <w:tcPr>
            <w:tcW w:w="1236" w:type="dxa"/>
            <w:shd w:val="clear" w:color="auto" w:fill="auto"/>
          </w:tcPr>
          <w:p w14:paraId="7D3907B0" w14:textId="77777777" w:rsidR="00531A80" w:rsidRPr="008137D0" w:rsidRDefault="00531A80" w:rsidP="004D1BFD">
            <w:pPr>
              <w:spacing w:line="276" w:lineRule="auto"/>
              <w:jc w:val="center"/>
            </w:pPr>
            <w:r w:rsidRPr="008137D0">
              <w:t>SB13</w:t>
            </w:r>
          </w:p>
        </w:tc>
        <w:tc>
          <w:tcPr>
            <w:tcW w:w="2592" w:type="dxa"/>
            <w:shd w:val="clear" w:color="auto" w:fill="auto"/>
          </w:tcPr>
          <w:p w14:paraId="0FE8E61F" w14:textId="77777777" w:rsidR="00531A80" w:rsidRPr="008137D0" w:rsidRDefault="00531A80" w:rsidP="004D1BFD">
            <w:pPr>
              <w:spacing w:line="276" w:lineRule="auto"/>
            </w:pPr>
            <w:r w:rsidRPr="008137D0">
              <w:t>White and green</w:t>
            </w:r>
          </w:p>
        </w:tc>
        <w:tc>
          <w:tcPr>
            <w:tcW w:w="1417" w:type="dxa"/>
            <w:shd w:val="clear" w:color="auto" w:fill="auto"/>
          </w:tcPr>
          <w:p w14:paraId="74D0FE69"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10BD0978"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3F20F5DE" w14:textId="77777777" w:rsidR="00531A80" w:rsidRPr="008137D0" w:rsidRDefault="00531A80" w:rsidP="004D1BFD">
            <w:pPr>
              <w:spacing w:line="276" w:lineRule="auto"/>
              <w:jc w:val="center"/>
            </w:pPr>
            <w:r w:rsidRPr="008137D0">
              <w:t>Yes</w:t>
            </w:r>
          </w:p>
        </w:tc>
        <w:tc>
          <w:tcPr>
            <w:tcW w:w="1559" w:type="dxa"/>
          </w:tcPr>
          <w:p w14:paraId="6E85251B" w14:textId="77777777" w:rsidR="00531A80" w:rsidRPr="008137D0" w:rsidRDefault="00531A80" w:rsidP="004D1BFD">
            <w:pPr>
              <w:spacing w:line="276" w:lineRule="auto"/>
              <w:jc w:val="center"/>
            </w:pPr>
            <w:r w:rsidRPr="008137D0">
              <w:t>Ampulliform</w:t>
            </w:r>
          </w:p>
        </w:tc>
        <w:tc>
          <w:tcPr>
            <w:tcW w:w="1135" w:type="dxa"/>
          </w:tcPr>
          <w:p w14:paraId="04ED6663" w14:textId="77777777" w:rsidR="00531A80" w:rsidRPr="008137D0" w:rsidRDefault="00531A80" w:rsidP="004D1BFD">
            <w:pPr>
              <w:spacing w:line="276" w:lineRule="auto"/>
              <w:jc w:val="center"/>
            </w:pPr>
            <w:r w:rsidRPr="008137D0">
              <w:t>Globose</w:t>
            </w:r>
          </w:p>
        </w:tc>
        <w:tc>
          <w:tcPr>
            <w:tcW w:w="1559" w:type="dxa"/>
          </w:tcPr>
          <w:p w14:paraId="227D94E5" w14:textId="77777777" w:rsidR="00531A80" w:rsidRPr="008137D0" w:rsidRDefault="00531A80" w:rsidP="004D1BFD">
            <w:pPr>
              <w:spacing w:line="276" w:lineRule="auto"/>
              <w:jc w:val="center"/>
            </w:pPr>
            <w:r w:rsidRPr="008137D0">
              <w:t>Yes</w:t>
            </w:r>
          </w:p>
        </w:tc>
        <w:tc>
          <w:tcPr>
            <w:tcW w:w="1276" w:type="dxa"/>
          </w:tcPr>
          <w:p w14:paraId="46C5E01F" w14:textId="77777777" w:rsidR="00531A80" w:rsidRPr="008137D0" w:rsidRDefault="00531A80" w:rsidP="004D1BFD">
            <w:pPr>
              <w:spacing w:line="276" w:lineRule="auto"/>
              <w:jc w:val="center"/>
            </w:pPr>
            <w:r w:rsidRPr="008137D0">
              <w:t>Yes</w:t>
            </w:r>
          </w:p>
        </w:tc>
      </w:tr>
      <w:tr w:rsidR="00531A80" w:rsidRPr="008137D0" w14:paraId="4C79301C" w14:textId="77777777" w:rsidTr="004D1BFD">
        <w:trPr>
          <w:trHeight w:val="294"/>
        </w:trPr>
        <w:tc>
          <w:tcPr>
            <w:tcW w:w="1236" w:type="dxa"/>
            <w:shd w:val="clear" w:color="auto" w:fill="auto"/>
          </w:tcPr>
          <w:p w14:paraId="4EF1D1EA" w14:textId="77777777" w:rsidR="00531A80" w:rsidRPr="008137D0" w:rsidRDefault="00531A80" w:rsidP="004D1BFD">
            <w:pPr>
              <w:spacing w:line="276" w:lineRule="auto"/>
              <w:jc w:val="center"/>
            </w:pPr>
            <w:r w:rsidRPr="008137D0">
              <w:t>SB14</w:t>
            </w:r>
          </w:p>
        </w:tc>
        <w:tc>
          <w:tcPr>
            <w:tcW w:w="2592" w:type="dxa"/>
            <w:shd w:val="clear" w:color="auto" w:fill="auto"/>
          </w:tcPr>
          <w:p w14:paraId="2E0ECE68" w14:textId="77777777" w:rsidR="00531A80" w:rsidRPr="008137D0" w:rsidRDefault="00531A80" w:rsidP="004D1BFD">
            <w:pPr>
              <w:spacing w:line="276" w:lineRule="auto"/>
            </w:pPr>
            <w:r w:rsidRPr="008137D0">
              <w:t>White and green</w:t>
            </w:r>
          </w:p>
        </w:tc>
        <w:tc>
          <w:tcPr>
            <w:tcW w:w="1417" w:type="dxa"/>
            <w:shd w:val="clear" w:color="auto" w:fill="auto"/>
          </w:tcPr>
          <w:p w14:paraId="091141CD" w14:textId="77777777" w:rsidR="00531A80" w:rsidRPr="008137D0" w:rsidRDefault="00531A80" w:rsidP="004D1BFD">
            <w:pPr>
              <w:spacing w:line="276" w:lineRule="auto"/>
              <w:jc w:val="center"/>
              <w:rPr>
                <w:iCs/>
              </w:rPr>
            </w:pPr>
            <w:r w:rsidRPr="008137D0">
              <w:rPr>
                <w:iCs/>
              </w:rPr>
              <w:t>Zonate</w:t>
            </w:r>
          </w:p>
        </w:tc>
        <w:tc>
          <w:tcPr>
            <w:tcW w:w="1134" w:type="dxa"/>
            <w:shd w:val="clear" w:color="auto" w:fill="auto"/>
          </w:tcPr>
          <w:p w14:paraId="76161D07" w14:textId="77777777" w:rsidR="00531A80" w:rsidRPr="008137D0" w:rsidRDefault="00531A80" w:rsidP="004D1BFD">
            <w:pPr>
              <w:spacing w:line="276" w:lineRule="auto"/>
              <w:jc w:val="center"/>
              <w:rPr>
                <w:iCs/>
              </w:rPr>
            </w:pPr>
            <w:r w:rsidRPr="008137D0">
              <w:rPr>
                <w:iCs/>
              </w:rPr>
              <w:t>Cottony</w:t>
            </w:r>
          </w:p>
        </w:tc>
        <w:tc>
          <w:tcPr>
            <w:tcW w:w="1559" w:type="dxa"/>
            <w:shd w:val="clear" w:color="auto" w:fill="auto"/>
          </w:tcPr>
          <w:p w14:paraId="4964814A" w14:textId="77777777" w:rsidR="00531A80" w:rsidRPr="008137D0" w:rsidRDefault="00531A80" w:rsidP="004D1BFD">
            <w:pPr>
              <w:spacing w:line="276" w:lineRule="auto"/>
              <w:jc w:val="center"/>
            </w:pPr>
            <w:r w:rsidRPr="008137D0">
              <w:t>No</w:t>
            </w:r>
          </w:p>
        </w:tc>
        <w:tc>
          <w:tcPr>
            <w:tcW w:w="1559" w:type="dxa"/>
          </w:tcPr>
          <w:p w14:paraId="2FC0D584" w14:textId="77777777" w:rsidR="00531A80" w:rsidRPr="008137D0" w:rsidRDefault="00531A80" w:rsidP="004D1BFD">
            <w:pPr>
              <w:spacing w:line="276" w:lineRule="auto"/>
              <w:jc w:val="center"/>
            </w:pPr>
            <w:r w:rsidRPr="008137D0">
              <w:t>Lageniform</w:t>
            </w:r>
          </w:p>
        </w:tc>
        <w:tc>
          <w:tcPr>
            <w:tcW w:w="1135" w:type="dxa"/>
          </w:tcPr>
          <w:p w14:paraId="13CBF66F" w14:textId="77777777" w:rsidR="00531A80" w:rsidRPr="008137D0" w:rsidRDefault="00531A80" w:rsidP="004D1BFD">
            <w:pPr>
              <w:spacing w:line="276" w:lineRule="auto"/>
              <w:jc w:val="center"/>
            </w:pPr>
            <w:r w:rsidRPr="008137D0">
              <w:t>Globose</w:t>
            </w:r>
          </w:p>
        </w:tc>
        <w:tc>
          <w:tcPr>
            <w:tcW w:w="1559" w:type="dxa"/>
          </w:tcPr>
          <w:p w14:paraId="12B9ACC3" w14:textId="77777777" w:rsidR="00531A80" w:rsidRPr="008137D0" w:rsidRDefault="00531A80" w:rsidP="004D1BFD">
            <w:pPr>
              <w:spacing w:line="276" w:lineRule="auto"/>
              <w:jc w:val="center"/>
            </w:pPr>
            <w:r w:rsidRPr="008137D0">
              <w:t>Yes</w:t>
            </w:r>
          </w:p>
        </w:tc>
        <w:tc>
          <w:tcPr>
            <w:tcW w:w="1276" w:type="dxa"/>
          </w:tcPr>
          <w:p w14:paraId="78255D4C" w14:textId="77777777" w:rsidR="00531A80" w:rsidRPr="008137D0" w:rsidRDefault="00531A80" w:rsidP="004D1BFD">
            <w:pPr>
              <w:spacing w:line="276" w:lineRule="auto"/>
              <w:jc w:val="center"/>
            </w:pPr>
            <w:r w:rsidRPr="008137D0">
              <w:t>Yes</w:t>
            </w:r>
          </w:p>
        </w:tc>
      </w:tr>
      <w:tr w:rsidR="00531A80" w:rsidRPr="008137D0" w14:paraId="72B00C43" w14:textId="77777777" w:rsidTr="004D1BFD">
        <w:trPr>
          <w:trHeight w:val="294"/>
        </w:trPr>
        <w:tc>
          <w:tcPr>
            <w:tcW w:w="1236" w:type="dxa"/>
            <w:tcBorders>
              <w:bottom w:val="single" w:sz="4" w:space="0" w:color="auto"/>
            </w:tcBorders>
            <w:shd w:val="clear" w:color="auto" w:fill="auto"/>
          </w:tcPr>
          <w:p w14:paraId="6037739E" w14:textId="77777777" w:rsidR="00531A80" w:rsidRPr="008137D0" w:rsidRDefault="00531A80" w:rsidP="004D1BFD">
            <w:pPr>
              <w:spacing w:line="276" w:lineRule="auto"/>
              <w:jc w:val="center"/>
            </w:pPr>
            <w:r w:rsidRPr="008137D0">
              <w:t>SB15</w:t>
            </w:r>
          </w:p>
        </w:tc>
        <w:tc>
          <w:tcPr>
            <w:tcW w:w="2592" w:type="dxa"/>
            <w:tcBorders>
              <w:bottom w:val="single" w:sz="4" w:space="0" w:color="auto"/>
            </w:tcBorders>
            <w:shd w:val="clear" w:color="auto" w:fill="auto"/>
          </w:tcPr>
          <w:p w14:paraId="4A5B5F3F" w14:textId="77777777" w:rsidR="00531A80" w:rsidRPr="008137D0" w:rsidRDefault="00531A80" w:rsidP="004D1BFD">
            <w:pPr>
              <w:spacing w:line="276" w:lineRule="auto"/>
            </w:pPr>
            <w:r w:rsidRPr="008137D0">
              <w:t>White and green</w:t>
            </w:r>
          </w:p>
        </w:tc>
        <w:tc>
          <w:tcPr>
            <w:tcW w:w="1417" w:type="dxa"/>
            <w:tcBorders>
              <w:bottom w:val="single" w:sz="4" w:space="0" w:color="auto"/>
            </w:tcBorders>
            <w:shd w:val="clear" w:color="auto" w:fill="auto"/>
          </w:tcPr>
          <w:p w14:paraId="2E61CE7A" w14:textId="77777777" w:rsidR="00531A80" w:rsidRPr="008137D0" w:rsidRDefault="00531A80" w:rsidP="004D1BFD">
            <w:pPr>
              <w:spacing w:line="276" w:lineRule="auto"/>
              <w:jc w:val="center"/>
              <w:rPr>
                <w:iCs/>
              </w:rPr>
            </w:pPr>
            <w:r w:rsidRPr="008137D0">
              <w:rPr>
                <w:iCs/>
              </w:rPr>
              <w:t>Zonate</w:t>
            </w:r>
          </w:p>
        </w:tc>
        <w:tc>
          <w:tcPr>
            <w:tcW w:w="1134" w:type="dxa"/>
            <w:tcBorders>
              <w:bottom w:val="single" w:sz="4" w:space="0" w:color="auto"/>
            </w:tcBorders>
            <w:shd w:val="clear" w:color="auto" w:fill="auto"/>
          </w:tcPr>
          <w:p w14:paraId="793AE8F2" w14:textId="77777777" w:rsidR="00531A80" w:rsidRPr="008137D0" w:rsidRDefault="00531A80" w:rsidP="004D1BFD">
            <w:pPr>
              <w:spacing w:line="276" w:lineRule="auto"/>
              <w:jc w:val="center"/>
              <w:rPr>
                <w:iCs/>
              </w:rPr>
            </w:pPr>
            <w:r w:rsidRPr="008137D0">
              <w:rPr>
                <w:iCs/>
              </w:rPr>
              <w:t>Cottony</w:t>
            </w:r>
          </w:p>
        </w:tc>
        <w:tc>
          <w:tcPr>
            <w:tcW w:w="1559" w:type="dxa"/>
            <w:tcBorders>
              <w:bottom w:val="single" w:sz="4" w:space="0" w:color="auto"/>
            </w:tcBorders>
            <w:shd w:val="clear" w:color="auto" w:fill="auto"/>
          </w:tcPr>
          <w:p w14:paraId="640788D1" w14:textId="77777777" w:rsidR="00531A80" w:rsidRPr="008137D0" w:rsidRDefault="00531A80" w:rsidP="004D1BFD">
            <w:pPr>
              <w:spacing w:line="276" w:lineRule="auto"/>
              <w:jc w:val="center"/>
            </w:pPr>
            <w:r w:rsidRPr="008137D0">
              <w:t>Yes</w:t>
            </w:r>
          </w:p>
        </w:tc>
        <w:tc>
          <w:tcPr>
            <w:tcW w:w="1559" w:type="dxa"/>
            <w:tcBorders>
              <w:bottom w:val="single" w:sz="4" w:space="0" w:color="auto"/>
            </w:tcBorders>
          </w:tcPr>
          <w:p w14:paraId="1018B257" w14:textId="77777777" w:rsidR="00531A80" w:rsidRPr="008137D0" w:rsidRDefault="00531A80" w:rsidP="004D1BFD">
            <w:pPr>
              <w:spacing w:line="276" w:lineRule="auto"/>
              <w:jc w:val="center"/>
            </w:pPr>
            <w:r w:rsidRPr="008137D0">
              <w:t>Lageniform</w:t>
            </w:r>
          </w:p>
        </w:tc>
        <w:tc>
          <w:tcPr>
            <w:tcW w:w="1135" w:type="dxa"/>
            <w:tcBorders>
              <w:bottom w:val="single" w:sz="4" w:space="0" w:color="auto"/>
            </w:tcBorders>
          </w:tcPr>
          <w:p w14:paraId="1E7E631D" w14:textId="77777777" w:rsidR="00531A80" w:rsidRPr="008137D0" w:rsidRDefault="00531A80" w:rsidP="004D1BFD">
            <w:pPr>
              <w:spacing w:line="276" w:lineRule="auto"/>
              <w:jc w:val="center"/>
            </w:pPr>
            <w:r w:rsidRPr="008137D0">
              <w:t>Globose</w:t>
            </w:r>
          </w:p>
        </w:tc>
        <w:tc>
          <w:tcPr>
            <w:tcW w:w="1559" w:type="dxa"/>
            <w:tcBorders>
              <w:bottom w:val="single" w:sz="4" w:space="0" w:color="auto"/>
            </w:tcBorders>
          </w:tcPr>
          <w:p w14:paraId="71AD0927" w14:textId="77777777" w:rsidR="00531A80" w:rsidRPr="008137D0" w:rsidRDefault="00531A80" w:rsidP="004D1BFD">
            <w:pPr>
              <w:spacing w:line="276" w:lineRule="auto"/>
              <w:jc w:val="center"/>
            </w:pPr>
            <w:r w:rsidRPr="008137D0">
              <w:t>Yes</w:t>
            </w:r>
          </w:p>
        </w:tc>
        <w:tc>
          <w:tcPr>
            <w:tcW w:w="1276" w:type="dxa"/>
            <w:tcBorders>
              <w:bottom w:val="single" w:sz="4" w:space="0" w:color="auto"/>
            </w:tcBorders>
          </w:tcPr>
          <w:p w14:paraId="16451129" w14:textId="77777777" w:rsidR="00531A80" w:rsidRPr="008137D0" w:rsidRDefault="00531A80" w:rsidP="004D1BFD">
            <w:pPr>
              <w:spacing w:line="276" w:lineRule="auto"/>
              <w:jc w:val="center"/>
            </w:pPr>
            <w:r w:rsidRPr="008137D0">
              <w:t>Yes</w:t>
            </w:r>
          </w:p>
        </w:tc>
      </w:tr>
    </w:tbl>
    <w:p w14:paraId="06B83AA3" w14:textId="77777777" w:rsidR="00576268" w:rsidRDefault="00576268" w:rsidP="00576268">
      <w:pPr>
        <w:rPr>
          <w:strike/>
          <w:lang w:val="en-US"/>
        </w:rPr>
      </w:pPr>
    </w:p>
    <w:p w14:paraId="09A20490" w14:textId="2103BB60" w:rsidR="00576268" w:rsidRPr="00576268" w:rsidRDefault="00576268" w:rsidP="00576268">
      <w:pPr>
        <w:rPr>
          <w:b/>
          <w:bCs/>
          <w:lang w:val="en-US"/>
        </w:rPr>
      </w:pPr>
      <w:r w:rsidRPr="00576268">
        <w:rPr>
          <w:b/>
          <w:bCs/>
          <w:lang w:val="en-US"/>
        </w:rPr>
        <w:t>References</w:t>
      </w:r>
    </w:p>
    <w:p w14:paraId="2C37B39A" w14:textId="77777777" w:rsidR="00576268" w:rsidRPr="00576268" w:rsidRDefault="00576268" w:rsidP="00576268">
      <w:pPr>
        <w:rPr>
          <w:lang w:val="en-US"/>
        </w:rPr>
      </w:pPr>
    </w:p>
    <w:p w14:paraId="542EF58E" w14:textId="64AE3131" w:rsidR="00534FB9" w:rsidRPr="00576268" w:rsidRDefault="00534FB9" w:rsidP="00576268">
      <w:pPr>
        <w:jc w:val="both"/>
        <w:rPr>
          <w:strike/>
          <w:lang w:val="en-US"/>
        </w:rPr>
      </w:pPr>
      <w:r w:rsidRPr="008137D0">
        <w:rPr>
          <w:noProof/>
        </w:rPr>
        <w:t>Abdul‐Baki, A.A., Anderson, J.D., 1973. Vigor determination in soybean seed by multiple criteria. Crop Sci. 13, 630–633. https://doi.org/10.2135/CROPSCI1973.0011183X001300060013X</w:t>
      </w:r>
    </w:p>
    <w:p w14:paraId="288F20DA" w14:textId="77777777" w:rsidR="00D03982" w:rsidRPr="00995F8B" w:rsidRDefault="00D03982" w:rsidP="00576268">
      <w:pPr>
        <w:widowControl w:val="0"/>
        <w:autoSpaceDE w:val="0"/>
        <w:autoSpaceDN w:val="0"/>
        <w:adjustRightInd w:val="0"/>
        <w:ind w:left="709" w:hanging="709"/>
        <w:jc w:val="both"/>
        <w:rPr>
          <w:noProof/>
        </w:rPr>
      </w:pPr>
      <w:r w:rsidRPr="00995F8B">
        <w:rPr>
          <w:noProof/>
        </w:rPr>
        <w:t xml:space="preserve">Anhar, A., Advinda, L., Irdawati, Syahputra, M.H., 2018. Germination responses of local lowland rice variety Sirandah Kuning to application of some </w:t>
      </w:r>
      <w:r w:rsidRPr="00995F8B">
        <w:rPr>
          <w:i/>
          <w:iCs/>
          <w:noProof/>
        </w:rPr>
        <w:t>Trichoderma</w:t>
      </w:r>
      <w:r w:rsidRPr="00995F8B">
        <w:rPr>
          <w:noProof/>
        </w:rPr>
        <w:t xml:space="preserve"> strain. J. Phys. Conf. Ser. 1116, 1–8. https://doi.org/10.1088/1742-6596/1116/5/052006</w:t>
      </w:r>
    </w:p>
    <w:p w14:paraId="15EC23FD" w14:textId="77777777" w:rsidR="00D03982" w:rsidRPr="00995F8B" w:rsidRDefault="00D03982" w:rsidP="00576268">
      <w:pPr>
        <w:widowControl w:val="0"/>
        <w:autoSpaceDE w:val="0"/>
        <w:autoSpaceDN w:val="0"/>
        <w:adjustRightInd w:val="0"/>
        <w:ind w:left="709" w:hanging="709"/>
        <w:jc w:val="both"/>
        <w:rPr>
          <w:noProof/>
        </w:rPr>
      </w:pPr>
      <w:r w:rsidRPr="00995F8B">
        <w:rPr>
          <w:noProof/>
        </w:rPr>
        <w:t xml:space="preserve">Asis, A., Shahriar, S.A., Naher, L., Saallah, S., Fatihah, H.N.N., Kumar, V., Siddiquee, S., 2021. Identification patterns of </w:t>
      </w:r>
      <w:r w:rsidRPr="00995F8B">
        <w:rPr>
          <w:i/>
          <w:iCs/>
          <w:noProof/>
        </w:rPr>
        <w:t>Trichoderma</w:t>
      </w:r>
      <w:r w:rsidRPr="00995F8B">
        <w:rPr>
          <w:noProof/>
        </w:rPr>
        <w:t xml:space="preserve"> strains using morphological characteristics, phylogenetic analyses and lignocellulolytic activities. Mol. Biol. Rep. 48, 3285–3301. https://doi.org/10.1007/s11033-021-06321-0</w:t>
      </w:r>
    </w:p>
    <w:p w14:paraId="1F2D5DC1" w14:textId="77777777" w:rsidR="00D03982" w:rsidRPr="00995F8B" w:rsidRDefault="00D03982" w:rsidP="00576268">
      <w:pPr>
        <w:widowControl w:val="0"/>
        <w:autoSpaceDE w:val="0"/>
        <w:autoSpaceDN w:val="0"/>
        <w:adjustRightInd w:val="0"/>
        <w:ind w:left="709" w:hanging="709"/>
        <w:jc w:val="both"/>
        <w:rPr>
          <w:noProof/>
        </w:rPr>
      </w:pPr>
      <w:r w:rsidRPr="00995F8B">
        <w:rPr>
          <w:noProof/>
        </w:rPr>
        <w:t>Awala, S.K., Hove, K., Shivute, V., Valombola, J.S., Nanhapo, P.I., Hirooka, Y., Mwandemele, O.D., Iijima, M., 2021. Growth and productivity assessment of short-duration rice (</w:t>
      </w:r>
      <w:r w:rsidRPr="00995F8B">
        <w:rPr>
          <w:i/>
          <w:iCs/>
          <w:noProof/>
        </w:rPr>
        <w:t>Oryza sativa</w:t>
      </w:r>
      <w:r w:rsidRPr="00995F8B">
        <w:rPr>
          <w:noProof/>
        </w:rPr>
        <w:t xml:space="preserve"> L. And Upland NERICA) genotypes in semiarid North-Central Namibia. Adv. Agric. 2021, 1–10. https://doi.org/10.1155/2021/6676081</w:t>
      </w:r>
    </w:p>
    <w:p w14:paraId="2A727B79" w14:textId="77777777" w:rsidR="00D03982" w:rsidRPr="00995F8B" w:rsidRDefault="00D03982" w:rsidP="00576268">
      <w:pPr>
        <w:widowControl w:val="0"/>
        <w:autoSpaceDE w:val="0"/>
        <w:autoSpaceDN w:val="0"/>
        <w:adjustRightInd w:val="0"/>
        <w:ind w:left="709" w:hanging="709"/>
        <w:jc w:val="both"/>
        <w:rPr>
          <w:noProof/>
        </w:rPr>
      </w:pPr>
      <w:r w:rsidRPr="00995F8B">
        <w:rPr>
          <w:noProof/>
        </w:rPr>
        <w:t>Chen, R.Y., Jiang, W., Fu, S.F., Chou, J.Y., 2022. Screening, evaluation, and selection of yeasts with high ammonia production ability under nitrogen free condition from the cherry tomato (</w:t>
      </w:r>
      <w:r w:rsidRPr="00995F8B">
        <w:rPr>
          <w:i/>
          <w:iCs/>
          <w:noProof/>
        </w:rPr>
        <w:t>Lycopersicon esculentum</w:t>
      </w:r>
      <w:r w:rsidRPr="00995F8B">
        <w:rPr>
          <w:noProof/>
        </w:rPr>
        <w:t xml:space="preserve"> var. </w:t>
      </w:r>
      <w:r w:rsidRPr="00995F8B">
        <w:rPr>
          <w:i/>
          <w:iCs/>
          <w:noProof/>
        </w:rPr>
        <w:t>cerasiforme</w:t>
      </w:r>
      <w:r w:rsidRPr="00995F8B">
        <w:rPr>
          <w:noProof/>
        </w:rPr>
        <w:t>) rhizosphere as a potential bio-fertilizer. Rhizosphere 23, 1–19. https://doi.org/10.1016/j.rhisph.2022.100580</w:t>
      </w:r>
    </w:p>
    <w:p w14:paraId="04F799F1" w14:textId="77777777" w:rsidR="00D03982" w:rsidRPr="00995F8B" w:rsidRDefault="00D03982" w:rsidP="00576268">
      <w:pPr>
        <w:widowControl w:val="0"/>
        <w:autoSpaceDE w:val="0"/>
        <w:autoSpaceDN w:val="0"/>
        <w:adjustRightInd w:val="0"/>
        <w:ind w:left="709" w:hanging="709"/>
        <w:jc w:val="both"/>
        <w:rPr>
          <w:noProof/>
        </w:rPr>
      </w:pPr>
      <w:r w:rsidRPr="00995F8B">
        <w:rPr>
          <w:noProof/>
        </w:rPr>
        <w:t xml:space="preserve">Doni, F., Isahak, A., Che Mohd Zain, C.R., Mohd Ariffin, S., Wan Mohamad, W.N., Wan Yusoff, W.M., 2014. Formulation of </w:t>
      </w:r>
      <w:r w:rsidRPr="00995F8B">
        <w:rPr>
          <w:i/>
          <w:iCs/>
          <w:noProof/>
        </w:rPr>
        <w:t>Trichoderma</w:t>
      </w:r>
      <w:r w:rsidRPr="00995F8B">
        <w:rPr>
          <w:noProof/>
        </w:rPr>
        <w:t xml:space="preserve"> sp. SL2 inoculants using different carriers for soil treatment in rice seedling growth. Springerplus 3, 1–5. https://doi.org/10.1186/2193-1801-3-532</w:t>
      </w:r>
    </w:p>
    <w:p w14:paraId="29D962E2" w14:textId="77777777" w:rsidR="00D03982" w:rsidRPr="00995F8B" w:rsidRDefault="00D03982" w:rsidP="00576268">
      <w:pPr>
        <w:widowControl w:val="0"/>
        <w:autoSpaceDE w:val="0"/>
        <w:autoSpaceDN w:val="0"/>
        <w:adjustRightInd w:val="0"/>
        <w:ind w:left="709" w:hanging="709"/>
        <w:jc w:val="both"/>
        <w:rPr>
          <w:noProof/>
        </w:rPr>
      </w:pPr>
      <w:r w:rsidRPr="00995F8B">
        <w:rPr>
          <w:noProof/>
        </w:rPr>
        <w:t xml:space="preserve">Doni, F., Zain, C.R.C.M., Isahak, A., Fathurrahman, F., Sulaiman, N., Uphoff, N., Yusoff, W.M.W., 2017. Relationships observed between </w:t>
      </w:r>
      <w:r w:rsidRPr="00995F8B">
        <w:rPr>
          <w:i/>
          <w:iCs/>
          <w:noProof/>
        </w:rPr>
        <w:t>Trichoderma</w:t>
      </w:r>
      <w:r w:rsidRPr="00995F8B">
        <w:rPr>
          <w:noProof/>
        </w:rPr>
        <w:t xml:space="preserve"> inoculation and characteristics of rice grown under System of Rice Intensification (SRI) vs. conventional methods of cultivation. Symbiosis 72, 45–59. https://doi.org/10.1007/s13199-016-0438-3</w:t>
      </w:r>
    </w:p>
    <w:p w14:paraId="13B331A6" w14:textId="77777777" w:rsidR="00D03982" w:rsidRPr="00995F8B" w:rsidRDefault="00D03982" w:rsidP="00576268">
      <w:pPr>
        <w:widowControl w:val="0"/>
        <w:autoSpaceDE w:val="0"/>
        <w:autoSpaceDN w:val="0"/>
        <w:adjustRightInd w:val="0"/>
        <w:ind w:left="709" w:hanging="709"/>
        <w:jc w:val="both"/>
        <w:rPr>
          <w:noProof/>
        </w:rPr>
      </w:pPr>
      <w:r w:rsidRPr="00995F8B">
        <w:rPr>
          <w:noProof/>
        </w:rPr>
        <w:t>Fanourakis, D., Hyldgaard, B., Giday, H., Aulik, I., Bouranis, D., Körner, O., Ottosen, C.O., 2019. Stomatal anatomy and closing ability is affected by supplementary light intensity in rose (</w:t>
      </w:r>
      <w:r w:rsidRPr="00995F8B">
        <w:rPr>
          <w:i/>
          <w:iCs/>
          <w:noProof/>
        </w:rPr>
        <w:t>Rosa hybrida</w:t>
      </w:r>
      <w:r w:rsidRPr="00995F8B">
        <w:rPr>
          <w:noProof/>
        </w:rPr>
        <w:t xml:space="preserve"> L.). Hortic. Sci. 46, 81–89. https://doi.org/10.17221/144/2017-HORTSCI</w:t>
      </w:r>
    </w:p>
    <w:p w14:paraId="5C8473F6" w14:textId="77777777" w:rsidR="005D4EE1" w:rsidRPr="00995F8B" w:rsidRDefault="005D4EE1" w:rsidP="00576268">
      <w:pPr>
        <w:widowControl w:val="0"/>
        <w:autoSpaceDE w:val="0"/>
        <w:autoSpaceDN w:val="0"/>
        <w:adjustRightInd w:val="0"/>
        <w:ind w:left="709" w:hanging="709"/>
        <w:jc w:val="both"/>
        <w:rPr>
          <w:noProof/>
        </w:rPr>
      </w:pPr>
      <w:r w:rsidRPr="00995F8B">
        <w:rPr>
          <w:noProof/>
        </w:rPr>
        <w:t>Gupta, P.C., 1993. Seed vigour testing, in: Agarwal, P.K. (Ed.), Handbook of Seed Testing. National Seed Corporation, New Delhi, pp. 245–246.</w:t>
      </w:r>
    </w:p>
    <w:p w14:paraId="60618938" w14:textId="77777777" w:rsidR="005D4EE1" w:rsidRPr="00995F8B" w:rsidRDefault="005D4EE1" w:rsidP="00576268">
      <w:pPr>
        <w:widowControl w:val="0"/>
        <w:autoSpaceDE w:val="0"/>
        <w:autoSpaceDN w:val="0"/>
        <w:adjustRightInd w:val="0"/>
        <w:ind w:left="709" w:hanging="709"/>
        <w:jc w:val="both"/>
        <w:rPr>
          <w:noProof/>
        </w:rPr>
      </w:pPr>
      <w:r w:rsidRPr="00995F8B">
        <w:rPr>
          <w:noProof/>
        </w:rPr>
        <w:t xml:space="preserve">Jiang, Y., Wang, J.L., Chen, J., Mao, L.J., Feng, X.X., Zhang, C.L., Lin, F.C., 2016. </w:t>
      </w:r>
      <w:r w:rsidRPr="00995F8B">
        <w:rPr>
          <w:i/>
          <w:iCs/>
          <w:noProof/>
        </w:rPr>
        <w:t>Trichoderma</w:t>
      </w:r>
      <w:r w:rsidRPr="00995F8B">
        <w:rPr>
          <w:noProof/>
        </w:rPr>
        <w:t xml:space="preserve"> biodiversity of agricultural fields in East China reveals a gradient distribution of species. PLoS One 11, 1–14. https://doi.org/10.1371/journal.pone.0160613</w:t>
      </w:r>
    </w:p>
    <w:p w14:paraId="18DA15EB" w14:textId="77777777" w:rsidR="005D4EE1" w:rsidRPr="00995F8B" w:rsidRDefault="005D4EE1" w:rsidP="00576268">
      <w:pPr>
        <w:widowControl w:val="0"/>
        <w:autoSpaceDE w:val="0"/>
        <w:autoSpaceDN w:val="0"/>
        <w:adjustRightInd w:val="0"/>
        <w:ind w:left="709" w:hanging="709"/>
        <w:jc w:val="both"/>
        <w:rPr>
          <w:noProof/>
        </w:rPr>
      </w:pPr>
      <w:r w:rsidRPr="00995F8B">
        <w:rPr>
          <w:noProof/>
        </w:rPr>
        <w:t xml:space="preserve">Kannangara, S., Dharmarathna, R.M.G.C.S., Jayarathna, D.L., 2017. Isolation, identification and characterization of </w:t>
      </w:r>
      <w:r w:rsidRPr="00995F8B">
        <w:rPr>
          <w:i/>
          <w:iCs/>
          <w:noProof/>
        </w:rPr>
        <w:t>Trichoderma</w:t>
      </w:r>
      <w:r w:rsidRPr="00995F8B">
        <w:rPr>
          <w:noProof/>
        </w:rPr>
        <w:t xml:space="preserve"> species as a potential biocontrol agent against </w:t>
      </w:r>
      <w:r w:rsidRPr="00995F8B">
        <w:rPr>
          <w:i/>
          <w:iCs/>
          <w:noProof/>
        </w:rPr>
        <w:t>Ceratocystis paradoxa</w:t>
      </w:r>
      <w:r w:rsidRPr="00995F8B">
        <w:rPr>
          <w:noProof/>
        </w:rPr>
        <w:t>. J. Agric. Sci. 12, 51–62. https://doi.org/10.4038/jas.v12i1.8206</w:t>
      </w:r>
    </w:p>
    <w:p w14:paraId="0187936B" w14:textId="77777777" w:rsidR="005D4EE1" w:rsidRPr="00995F8B" w:rsidRDefault="005D4EE1" w:rsidP="00576268">
      <w:pPr>
        <w:widowControl w:val="0"/>
        <w:autoSpaceDE w:val="0"/>
        <w:autoSpaceDN w:val="0"/>
        <w:adjustRightInd w:val="0"/>
        <w:ind w:left="709" w:hanging="709"/>
        <w:jc w:val="both"/>
        <w:rPr>
          <w:noProof/>
        </w:rPr>
      </w:pPr>
      <w:r w:rsidRPr="00995F8B">
        <w:rPr>
          <w:noProof/>
        </w:rPr>
        <w:t xml:space="preserve">Khadka, R.B., Uphoff, N., 2019. Effects of </w:t>
      </w:r>
      <w:r w:rsidRPr="00995F8B">
        <w:rPr>
          <w:i/>
          <w:iCs/>
          <w:noProof/>
        </w:rPr>
        <w:t>Trichoderma</w:t>
      </w:r>
      <w:r w:rsidRPr="00995F8B">
        <w:rPr>
          <w:noProof/>
        </w:rPr>
        <w:t xml:space="preserve"> seedling treatment with system of rice intensification management and with conventional management of transplanted rice. PeerJ 2019, 1–22. https://doi.org/10.7717/peerj.5877</w:t>
      </w:r>
    </w:p>
    <w:p w14:paraId="492F2871" w14:textId="77777777" w:rsidR="005D4EE1" w:rsidRPr="00995F8B" w:rsidRDefault="005D4EE1" w:rsidP="00576268">
      <w:pPr>
        <w:widowControl w:val="0"/>
        <w:autoSpaceDE w:val="0"/>
        <w:autoSpaceDN w:val="0"/>
        <w:adjustRightInd w:val="0"/>
        <w:ind w:left="709" w:hanging="709"/>
        <w:jc w:val="both"/>
        <w:rPr>
          <w:noProof/>
        </w:rPr>
      </w:pPr>
      <w:r w:rsidRPr="00995F8B">
        <w:rPr>
          <w:noProof/>
        </w:rPr>
        <w:t>Kusumi, K., 2013. Measuring Stomatal Density in Rice. Bio-protocol 3, 1–6.</w:t>
      </w:r>
    </w:p>
    <w:p w14:paraId="312F5636" w14:textId="77777777" w:rsidR="005D4EE1" w:rsidRPr="00995F8B" w:rsidRDefault="005D4EE1" w:rsidP="00576268">
      <w:pPr>
        <w:widowControl w:val="0"/>
        <w:autoSpaceDE w:val="0"/>
        <w:autoSpaceDN w:val="0"/>
        <w:adjustRightInd w:val="0"/>
        <w:ind w:left="709" w:hanging="709"/>
        <w:jc w:val="both"/>
        <w:rPr>
          <w:noProof/>
        </w:rPr>
      </w:pPr>
      <w:r w:rsidRPr="00995F8B">
        <w:rPr>
          <w:noProof/>
        </w:rPr>
        <w:t xml:space="preserve">Li, Z., Zhang, T., Zhu, M., Li, C., Li, B., Lu, X., Wang, J., Jia, L., Qi, H., Wang, X., Zhao, G., 2022. High-vigor seeds associated with seed hardness </w:t>
      </w:r>
      <w:r w:rsidRPr="00995F8B">
        <w:rPr>
          <w:noProof/>
        </w:rPr>
        <w:lastRenderedPageBreak/>
        <w:t>and water absorption rate in rice (</w:t>
      </w:r>
      <w:r w:rsidRPr="00995F8B">
        <w:rPr>
          <w:i/>
          <w:iCs/>
          <w:noProof/>
        </w:rPr>
        <w:t>Oryza sativa</w:t>
      </w:r>
      <w:r w:rsidRPr="00995F8B">
        <w:rPr>
          <w:noProof/>
        </w:rPr>
        <w:t xml:space="preserve"> L.). Agric. 12, 1–9. https://doi.org/10.3390/AGRICULTURE12050712</w:t>
      </w:r>
    </w:p>
    <w:p w14:paraId="000B2EC9" w14:textId="77777777" w:rsidR="005D4EE1" w:rsidRPr="00995F8B" w:rsidRDefault="005D4EE1" w:rsidP="00576268">
      <w:pPr>
        <w:widowControl w:val="0"/>
        <w:autoSpaceDE w:val="0"/>
        <w:autoSpaceDN w:val="0"/>
        <w:adjustRightInd w:val="0"/>
        <w:ind w:left="709" w:hanging="709"/>
        <w:jc w:val="both"/>
        <w:rPr>
          <w:noProof/>
        </w:rPr>
      </w:pPr>
      <w:r w:rsidRPr="00995F8B">
        <w:rPr>
          <w:noProof/>
        </w:rPr>
        <w:t xml:space="preserve">Meera, T., Balabaskar, P., 2012. Isolation and characterization of </w:t>
      </w:r>
      <w:r w:rsidRPr="00995F8B">
        <w:rPr>
          <w:i/>
          <w:iCs/>
          <w:noProof/>
        </w:rPr>
        <w:t>Pseudomonas</w:t>
      </w:r>
      <w:r w:rsidRPr="00995F8B">
        <w:rPr>
          <w:noProof/>
        </w:rPr>
        <w:t>. Int. J. Food, Agric. Vet. Sci. 2, 113–120.</w:t>
      </w:r>
    </w:p>
    <w:p w14:paraId="480E8E57" w14:textId="77777777" w:rsidR="005D4EE1" w:rsidRPr="00995F8B" w:rsidRDefault="005D4EE1" w:rsidP="00576268">
      <w:pPr>
        <w:widowControl w:val="0"/>
        <w:autoSpaceDE w:val="0"/>
        <w:autoSpaceDN w:val="0"/>
        <w:adjustRightInd w:val="0"/>
        <w:ind w:left="709" w:hanging="709"/>
        <w:jc w:val="both"/>
        <w:rPr>
          <w:noProof/>
        </w:rPr>
      </w:pPr>
      <w:r w:rsidRPr="00995F8B">
        <w:rPr>
          <w:noProof/>
        </w:rPr>
        <w:t xml:space="preserve">Mehmood, A., Khan, N., Irshad, M., Hamayun, M., Husna, I., Javed, A., Hussain, A., 2018. IAA producing endopytic fungus </w:t>
      </w:r>
      <w:r w:rsidRPr="00995F8B">
        <w:rPr>
          <w:i/>
          <w:iCs/>
          <w:noProof/>
        </w:rPr>
        <w:t>Fusariun oxysporum</w:t>
      </w:r>
      <w:r w:rsidRPr="00995F8B">
        <w:rPr>
          <w:noProof/>
        </w:rPr>
        <w:t xml:space="preserve"> wlw colonize maize roots and promoted maize growth under hydroponic condition. Eur. J. Exp. Biol. 8, 1–7. https://doi.org/10.21767/2248-9215.100065</w:t>
      </w:r>
    </w:p>
    <w:p w14:paraId="717777B8" w14:textId="77777777" w:rsidR="005D4EE1" w:rsidRPr="00995F8B" w:rsidRDefault="005D4EE1" w:rsidP="00576268">
      <w:pPr>
        <w:widowControl w:val="0"/>
        <w:autoSpaceDE w:val="0"/>
        <w:autoSpaceDN w:val="0"/>
        <w:adjustRightInd w:val="0"/>
        <w:ind w:left="709" w:hanging="709"/>
        <w:jc w:val="both"/>
        <w:rPr>
          <w:noProof/>
        </w:rPr>
      </w:pPr>
      <w:r w:rsidRPr="00995F8B">
        <w:rPr>
          <w:noProof/>
        </w:rPr>
        <w:t>Mishra, D., Rajput, R.S., Zaidi, N.W., Singh, H.B., 2019. Sheath blight and drought stress management in rice (</w:t>
      </w:r>
      <w:r w:rsidRPr="00995F8B">
        <w:rPr>
          <w:i/>
          <w:iCs/>
          <w:noProof/>
        </w:rPr>
        <w:t>Oryza sativa</w:t>
      </w:r>
      <w:r w:rsidRPr="00995F8B">
        <w:rPr>
          <w:noProof/>
        </w:rPr>
        <w:t xml:space="preserve">) through </w:t>
      </w:r>
      <w:r w:rsidRPr="00995F8B">
        <w:rPr>
          <w:i/>
          <w:iCs/>
          <w:noProof/>
        </w:rPr>
        <w:t>Trichoderma</w:t>
      </w:r>
      <w:r w:rsidRPr="00995F8B">
        <w:rPr>
          <w:noProof/>
        </w:rPr>
        <w:t xml:space="preserve"> spp. Indian Phytopathol. 73, 71–77. https://doi.org/10.1007/s42360-019-00189-8</w:t>
      </w:r>
    </w:p>
    <w:p w14:paraId="0F38CCB3" w14:textId="77777777" w:rsidR="005D4EE1" w:rsidRPr="00995F8B" w:rsidRDefault="005D4EE1" w:rsidP="00576268">
      <w:pPr>
        <w:widowControl w:val="0"/>
        <w:autoSpaceDE w:val="0"/>
        <w:autoSpaceDN w:val="0"/>
        <w:adjustRightInd w:val="0"/>
        <w:ind w:left="709" w:hanging="709"/>
        <w:jc w:val="both"/>
        <w:rPr>
          <w:noProof/>
        </w:rPr>
      </w:pPr>
      <w:r w:rsidRPr="00995F8B">
        <w:rPr>
          <w:noProof/>
        </w:rPr>
        <w:t>Shibghatallah, M.A.H., Khotimah, S.N., Suhandono, S., Viridi, S., Kesuma, T., 2013. Measuring leaf chlorophyll concentration from its color: A way in monitoring environment change to plantations. AIP Conf. Proc. 1554, 210–213. https://doi.org/10.1063/1.4820322</w:t>
      </w:r>
    </w:p>
    <w:p w14:paraId="1111B670" w14:textId="77777777" w:rsidR="005D4EE1" w:rsidRPr="00995F8B" w:rsidRDefault="005D4EE1" w:rsidP="00576268">
      <w:pPr>
        <w:widowControl w:val="0"/>
        <w:autoSpaceDE w:val="0"/>
        <w:autoSpaceDN w:val="0"/>
        <w:adjustRightInd w:val="0"/>
        <w:ind w:left="709" w:hanging="709"/>
        <w:jc w:val="both"/>
        <w:rPr>
          <w:noProof/>
        </w:rPr>
      </w:pPr>
      <w:r w:rsidRPr="00995F8B">
        <w:rPr>
          <w:noProof/>
        </w:rPr>
        <w:t>Tabatabai, M.A., Bremner, J.M., 1969. Use of p-nitrophenyl phosphate for assay of soil phosphatase activity. Soil Biol. Biochem. 1, 301–307. https://doi.org/10.1016/0038-0717(69)90012-1</w:t>
      </w:r>
    </w:p>
    <w:p w14:paraId="6F909E22" w14:textId="77777777" w:rsidR="005D4EE1" w:rsidRPr="00995F8B" w:rsidRDefault="005D4EE1" w:rsidP="00576268">
      <w:pPr>
        <w:widowControl w:val="0"/>
        <w:autoSpaceDE w:val="0"/>
        <w:autoSpaceDN w:val="0"/>
        <w:adjustRightInd w:val="0"/>
        <w:ind w:left="709" w:hanging="709"/>
        <w:jc w:val="both"/>
        <w:rPr>
          <w:noProof/>
        </w:rPr>
      </w:pPr>
      <w:r w:rsidRPr="00995F8B">
        <w:rPr>
          <w:noProof/>
        </w:rPr>
        <w:t xml:space="preserve">Vijayan, A.K., Nair, R.B., Rajendran, R., Francis, S.M., Nair, A.S., Thomas, J., 2015. Evaluation of native </w:t>
      </w:r>
      <w:r w:rsidRPr="00995F8B">
        <w:rPr>
          <w:i/>
          <w:iCs/>
          <w:noProof/>
        </w:rPr>
        <w:t>Trichoderma</w:t>
      </w:r>
      <w:r w:rsidRPr="00995F8B">
        <w:rPr>
          <w:noProof/>
        </w:rPr>
        <w:t xml:space="preserve"> spp . against pathogens infecting small cardamom. J. Plant. Crop. 43, 35–39.</w:t>
      </w:r>
    </w:p>
    <w:p w14:paraId="1A0F6814" w14:textId="77777777" w:rsidR="00534FB9" w:rsidRPr="00BB672C" w:rsidRDefault="00534FB9" w:rsidP="00576268">
      <w:pPr>
        <w:jc w:val="both"/>
        <w:rPr>
          <w:lang w:val="en-US"/>
        </w:rPr>
      </w:pPr>
    </w:p>
    <w:sectPr w:rsidR="00534FB9" w:rsidRPr="00BB672C" w:rsidSect="00531A8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2C"/>
    <w:rsid w:val="00040D7A"/>
    <w:rsid w:val="00072079"/>
    <w:rsid w:val="00091F55"/>
    <w:rsid w:val="00097A87"/>
    <w:rsid w:val="000C5D97"/>
    <w:rsid w:val="002C60C4"/>
    <w:rsid w:val="003965CF"/>
    <w:rsid w:val="003A75AB"/>
    <w:rsid w:val="003C5111"/>
    <w:rsid w:val="004253A7"/>
    <w:rsid w:val="00440567"/>
    <w:rsid w:val="00455333"/>
    <w:rsid w:val="00485FEF"/>
    <w:rsid w:val="00500D6D"/>
    <w:rsid w:val="00531A80"/>
    <w:rsid w:val="00534FB9"/>
    <w:rsid w:val="00576268"/>
    <w:rsid w:val="005D4EE1"/>
    <w:rsid w:val="005E549C"/>
    <w:rsid w:val="006F4BB0"/>
    <w:rsid w:val="00830818"/>
    <w:rsid w:val="00853292"/>
    <w:rsid w:val="00980B11"/>
    <w:rsid w:val="009E0D07"/>
    <w:rsid w:val="00A16F72"/>
    <w:rsid w:val="00B8202D"/>
    <w:rsid w:val="00BB672C"/>
    <w:rsid w:val="00C0546F"/>
    <w:rsid w:val="00C25E3E"/>
    <w:rsid w:val="00D03982"/>
    <w:rsid w:val="00D32F22"/>
    <w:rsid w:val="00D5296E"/>
    <w:rsid w:val="00DB6C74"/>
    <w:rsid w:val="00E23000"/>
    <w:rsid w:val="00E9545C"/>
    <w:rsid w:val="00F670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116E"/>
  <w15:chartTrackingRefBased/>
  <w15:docId w15:val="{145C8EA4-88BC-1A42-93C3-CA97D141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B9"/>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532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44056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3260</Words>
  <Characters>18587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Sulistya Ika</dc:creator>
  <cp:keywords/>
  <dc:description/>
  <cp:lastModifiedBy>Sulistya Ika</cp:lastModifiedBy>
  <cp:revision>12</cp:revision>
  <dcterms:created xsi:type="dcterms:W3CDTF">2024-06-17T09:28:00Z</dcterms:created>
  <dcterms:modified xsi:type="dcterms:W3CDTF">2024-06-18T15:55:00Z</dcterms:modified>
</cp:coreProperties>
</file>