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51" w:rsidRPr="00514D51" w:rsidRDefault="00514D51" w:rsidP="00514D5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14D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Impact of fin material properties and the inclination angle on the thermal efficiency of evacuated tube solar water heater: An experimental study</w:t>
      </w:r>
    </w:p>
    <w:p w:rsidR="00514D51" w:rsidRDefault="00514D51" w:rsidP="005F274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50965" w:rsidRPr="005F2742" w:rsidRDefault="00350965" w:rsidP="005F274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5F274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Uncertainty analysis</w:t>
      </w:r>
    </w:p>
    <w:p w:rsidR="005F2742" w:rsidRDefault="008871E6" w:rsidP="005F2742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The underlying causes of errors in various equipment are influenced through variables such as the calibration errors, equipment uncertainty, and data gathering errors</w:t>
      </w:r>
      <w:r w:rsidR="00D94B71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The experiment involves the direct measurement of several parameters, including sun irradiation</w:t>
      </w:r>
      <w:r w:rsid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>)</m:t>
        </m:r>
      </m:oMath>
      <w:r w:rsidR="00D94B71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flow rate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wt</m:t>
            </m:r>
          </m:sub>
        </m:sSub>
      </m:oMath>
      <w:r w:rsidR="00D94B71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), outlet temperature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en-IN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IN"/>
              </w:rPr>
              <m:t>out</m:t>
            </m:r>
          </m:sub>
        </m:sSub>
      </m:oMath>
      <w:r w:rsidR="00D94B71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), and </w:t>
      </w:r>
      <w:r w:rsidR="00B213C2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inlet</w:t>
      </w:r>
      <w:r w:rsidR="00D94B71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temperature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eastAsia="en-IN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eastAsia="en-IN"/>
              </w:rPr>
              <m:t>in</m:t>
            </m:r>
          </m:sub>
        </m:sSub>
      </m:oMath>
      <w:r w:rsidR="00D94B71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The ambiguity of measurement and the propagation of error were </w:t>
      </w:r>
      <w:r w:rsidR="0065306D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examined </w:t>
      </w:r>
      <w:r w:rsidR="001F5DF7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65306D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Kline and McClintock, 1953; </w:t>
      </w:r>
      <w:r w:rsidR="00B1664C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Wang et al., 2017</w:t>
      </w:r>
      <w:r w:rsidR="004C3265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  <w:r w:rsidR="005F2742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4C3265" w:rsidRPr="005F2742">
        <w:rPr>
          <w:rFonts w:ascii="Times New Roman" w:hAnsi="Times New Roman" w:cs="Times New Roman"/>
          <w:sz w:val="24"/>
          <w:szCs w:val="24"/>
        </w:rPr>
        <w:t>Harrabi et al., 2020</w:t>
      </w:r>
      <w:r w:rsidR="004C3265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65306D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="005F2742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60963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The</w:t>
      </w:r>
      <w:r w:rsidR="005F2742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uncertainty analysis was c</w:t>
      </w:r>
      <w:r w:rsidR="00CE6B57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onducted </w:t>
      </w:r>
      <w:r w:rsidR="00360963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as </w:t>
      </w:r>
      <w:r w:rsid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follows</w:t>
      </w:r>
      <w:r w:rsidR="00360963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:rsidR="00176E63" w:rsidRPr="005F2742" w:rsidRDefault="007477F4" w:rsidP="005F274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U</m:t>
          </m:r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R</m:t>
                  </m:r>
                </m:sup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nary>
            </m:e>
          </m:rad>
        </m:oMath>
      </m:oMathPara>
    </w:p>
    <w:p w:rsidR="005F2742" w:rsidRDefault="0065306D" w:rsidP="005F274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</w:t>
      </w:r>
      <w:r w:rsidR="00176E63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here,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>√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N</m:t>
            </m:r>
          </m:den>
        </m:f>
      </m:oMath>
    </w:p>
    <w:p w:rsidR="005F2742" w:rsidRDefault="00374549" w:rsidP="005F274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den>
        </m:f>
      </m:oMath>
      <w:r w:rsidR="00824A7E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radPr>
          <m:deg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wt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wt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2E7788" w:rsidRPr="005F2742" w:rsidRDefault="00374549" w:rsidP="005F274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den>
        </m:f>
      </m:oMath>
      <w:r w:rsidR="002E7788" w:rsidRPr="005F2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(%) 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m:ctrlPr>
          </m:radPr>
          <m:deg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4"/>
                <w:szCs w:val="24"/>
                <w:shd w:val="clear" w:color="auto" w:fill="FFFFFF"/>
              </w:rPr>
              <m:t>0.03</m:t>
            </m:r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4"/>
                <w:szCs w:val="24"/>
                <w:shd w:val="clear" w:color="auto" w:fill="FFFFFF"/>
              </w:rPr>
              <m:t>²</m:t>
            </m:r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4"/>
                <w:szCs w:val="24"/>
                <w:shd w:val="clear" w:color="auto" w:fill="FFFFFF"/>
              </w:rPr>
              <m:t>+0.05</m:t>
            </m:r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4"/>
                <w:szCs w:val="24"/>
                <w:shd w:val="clear" w:color="auto" w:fill="FFFFFF"/>
              </w:rPr>
              <m:t>²</m:t>
            </m:r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4"/>
                <w:szCs w:val="24"/>
                <w:shd w:val="clear" w:color="auto" w:fill="FFFFFF"/>
              </w:rPr>
              <m:t>+0.01</m:t>
            </m:r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4"/>
                <w:szCs w:val="24"/>
                <w:shd w:val="clear" w:color="auto" w:fill="FFFFFF"/>
              </w:rPr>
              <m:t>²</m:t>
            </m:r>
            <m:r>
              <m:rPr>
                <m:sty m:val="p"/>
              </m:rPr>
              <w:rPr>
                <w:rFonts w:ascii="Cambria Math" w:hAnsi="Times New Roman" w:cs="Times New Roman"/>
                <w:color w:val="222222"/>
                <w:sz w:val="24"/>
                <w:szCs w:val="24"/>
                <w:shd w:val="clear" w:color="auto" w:fill="FFFFFF"/>
              </w:rPr>
              <m:t xml:space="preserve"> </m:t>
            </m:r>
          </m:e>
        </m:rad>
      </m:oMath>
      <w:r w:rsidR="002E7788" w:rsidRPr="005F2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= 0.059 = 5.9%</w:t>
      </w:r>
    </w:p>
    <w:p w:rsidR="005751E8" w:rsidRDefault="00DF4F3A" w:rsidP="005F27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The variables in the equation are as follows: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U</m:t>
        </m:r>
      </m:oMath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represents the overall uncertainty, (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a</m:t>
        </m:r>
      </m:oMath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denotes sensitivity, (</w:t>
      </w:r>
      <w:r w:rsidRPr="005F2742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N</w:t>
      </w: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is the number of measurements used to determine the </w:t>
      </w:r>
      <w:r w:rsidR="0065306D"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equipment</w:t>
      </w: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uncertainty, and (</w:t>
      </w:r>
      <w:r w:rsidRPr="005F2742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S</w:t>
      </w:r>
      <w:r w:rsidRPr="005F274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indicates the standard deviation. </w:t>
      </w:r>
      <w:r w:rsidR="0065306D" w:rsidRPr="005F2742">
        <w:rPr>
          <w:rFonts w:ascii="Times New Roman" w:eastAsiaTheme="minorEastAsia" w:hAnsi="Times New Roman" w:cs="Times New Roman"/>
          <w:sz w:val="24"/>
          <w:szCs w:val="24"/>
        </w:rPr>
        <w:t>The uncertainties associated with the measuring instruments</w:t>
      </w:r>
      <w:r w:rsidR="005F2742" w:rsidRPr="005F2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014F" w:rsidRPr="005F27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014F" w:rsidRPr="005F2742">
        <w:rPr>
          <w:rFonts w:ascii="Times New Roman" w:eastAsiaTheme="minorEastAsia" w:hAnsi="Times New Roman" w:cs="Times New Roman"/>
          <w:sz w:val="24"/>
          <w:szCs w:val="24"/>
        </w:rPr>
        <w:t>Kline and McClintock, 1953; Wang et al., 2017</w:t>
      </w:r>
      <w:r w:rsidR="008F7138" w:rsidRPr="005F2742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8F7138" w:rsidRPr="005F2742">
        <w:rPr>
          <w:rFonts w:ascii="Times New Roman" w:hAnsi="Times New Roman" w:cs="Times New Roman"/>
          <w:sz w:val="24"/>
          <w:szCs w:val="24"/>
        </w:rPr>
        <w:t>Harrabi et al., 2020</w:t>
      </w:r>
      <w:r w:rsidR="00F2014F" w:rsidRPr="005F27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5306D" w:rsidRPr="005F2742">
        <w:rPr>
          <w:rFonts w:ascii="Times New Roman" w:eastAsiaTheme="minorEastAsia" w:hAnsi="Times New Roman" w:cs="Times New Roman"/>
          <w:sz w:val="24"/>
          <w:szCs w:val="24"/>
        </w:rPr>
        <w:t xml:space="preserve"> employed in the experiment </w:t>
      </w:r>
      <w:r w:rsidR="00F2014F" w:rsidRPr="005F2742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65306D" w:rsidRPr="005F2742">
        <w:rPr>
          <w:rFonts w:ascii="Times New Roman" w:eastAsiaTheme="minorEastAsia" w:hAnsi="Times New Roman" w:cs="Times New Roman"/>
          <w:sz w:val="24"/>
          <w:szCs w:val="24"/>
        </w:rPr>
        <w:t xml:space="preserve"> reported </w:t>
      </w:r>
      <w:r w:rsidR="0065306D" w:rsidRPr="005F2742">
        <w:rPr>
          <w:rFonts w:ascii="Times New Roman" w:hAnsi="Times New Roman" w:cs="Times New Roman"/>
          <w:sz w:val="24"/>
          <w:szCs w:val="24"/>
          <w:lang w:val="en-US"/>
        </w:rPr>
        <w:t>in section 2 and 3</w:t>
      </w:r>
      <w:r w:rsidR="003C1DC5" w:rsidRPr="005F27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F2742" w:rsidRPr="005F2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06D" w:rsidRPr="005F2742">
        <w:rPr>
          <w:rFonts w:ascii="Times New Roman" w:hAnsi="Times New Roman" w:cs="Times New Roman"/>
          <w:sz w:val="24"/>
          <w:szCs w:val="24"/>
        </w:rPr>
        <w:t xml:space="preserve">The maximum uncertainty </w:t>
      </w:r>
      <w:r w:rsidR="005241E3" w:rsidRPr="005F2742">
        <w:rPr>
          <w:rFonts w:ascii="Times New Roman" w:hAnsi="Times New Roman" w:cs="Times New Roman"/>
          <w:sz w:val="24"/>
          <w:szCs w:val="24"/>
        </w:rPr>
        <w:t>in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65306D" w:rsidRPr="005F2742">
        <w:rPr>
          <w:rFonts w:ascii="Times New Roman" w:hAnsi="Times New Roman" w:cs="Times New Roman"/>
          <w:sz w:val="24"/>
          <w:szCs w:val="24"/>
        </w:rPr>
        <w:t>was determined to be 5.9%.</w:t>
      </w:r>
    </w:p>
    <w:p w:rsidR="005F2742" w:rsidRDefault="005F2742" w:rsidP="005F2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 w:rsidR="005F2742" w:rsidRDefault="005F2742" w:rsidP="005F2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 w:rsidR="005F2742" w:rsidRDefault="005F2742" w:rsidP="005F2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 w:rsidR="005F2742" w:rsidRDefault="005F2742" w:rsidP="005F2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 w:rsidR="005F2742" w:rsidRDefault="005F2742" w:rsidP="005F2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 w:rsidR="005F2742" w:rsidRDefault="005F2742" w:rsidP="005F2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 w:rsidR="005F2742" w:rsidRDefault="005F2742" w:rsidP="005F27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 w:rsidR="00712641" w:rsidRPr="00077C2F" w:rsidRDefault="00712641" w:rsidP="005F27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IN"/>
        </w:rPr>
      </w:pPr>
      <w:r w:rsidRPr="00221125">
        <w:rPr>
          <w:rFonts w:ascii="Times New Roman" w:hAnsi="Times New Roman" w:cs="Times New Roman"/>
          <w:b/>
          <w:bCs/>
          <w:sz w:val="24"/>
          <w:szCs w:val="24"/>
          <w:lang w:eastAsia="en-IN"/>
        </w:rPr>
        <w:lastRenderedPageBreak/>
        <w:t xml:space="preserve">Table </w:t>
      </w:r>
      <w:r w:rsidR="005F274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S</w:t>
      </w:r>
      <w:r w:rsidRPr="00221125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1</w:t>
      </w:r>
      <w:r w:rsidR="005F2742"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077C2F">
        <w:rPr>
          <w:rFonts w:ascii="Times New Roman" w:hAnsi="Times New Roman" w:cs="Times New Roman"/>
          <w:bCs/>
          <w:sz w:val="24"/>
          <w:szCs w:val="24"/>
          <w:lang w:eastAsia="en-IN"/>
        </w:rPr>
        <w:t>ETSWH</w:t>
      </w:r>
      <w:r w:rsidRPr="00077C2F">
        <w:rPr>
          <w:rFonts w:ascii="Times New Roman" w:hAnsi="Times New Roman" w:cs="Times New Roman"/>
          <w:sz w:val="24"/>
          <w:szCs w:val="24"/>
          <w:lang w:eastAsia="en-IN"/>
        </w:rPr>
        <w:t xml:space="preserve"> thermal performance comparison with prior research.</w:t>
      </w:r>
    </w:p>
    <w:tbl>
      <w:tblPr>
        <w:tblStyle w:val="TableGrid"/>
        <w:tblW w:w="10856" w:type="dxa"/>
        <w:jc w:val="center"/>
        <w:tblInd w:w="-1486" w:type="dxa"/>
        <w:tblLook w:val="04A0"/>
      </w:tblPr>
      <w:tblGrid>
        <w:gridCol w:w="1648"/>
        <w:gridCol w:w="1440"/>
        <w:gridCol w:w="2520"/>
        <w:gridCol w:w="2237"/>
        <w:gridCol w:w="1874"/>
        <w:gridCol w:w="1137"/>
      </w:tblGrid>
      <w:tr w:rsidR="005F2742" w:rsidRPr="002C45A5" w:rsidTr="00973DE7">
        <w:trPr>
          <w:trHeight w:val="251"/>
          <w:jc w:val="center"/>
        </w:trPr>
        <w:tc>
          <w:tcPr>
            <w:tcW w:w="1648" w:type="dxa"/>
            <w:vMerge w:val="restart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1440" w:type="dxa"/>
            <w:vMerge w:val="restart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Type of ETSC</w:t>
            </w:r>
          </w:p>
        </w:tc>
        <w:tc>
          <w:tcPr>
            <w:tcW w:w="2520" w:type="dxa"/>
            <w:vMerge w:val="restart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5248" w:type="dxa"/>
            <w:gridSpan w:val="3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5F2742" w:rsidRPr="002C45A5" w:rsidTr="005F2742">
        <w:trPr>
          <w:trHeight w:val="521"/>
          <w:jc w:val="center"/>
        </w:trPr>
        <w:tc>
          <w:tcPr>
            <w:tcW w:w="1648" w:type="dxa"/>
            <w:vMerge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2C45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attained</w:t>
            </w:r>
          </w:p>
        </w:tc>
        <w:tc>
          <w:tcPr>
            <w:tcW w:w="1874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en-I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I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en-IN"/>
                    </w:rPr>
                    <m:t>out</m:t>
                  </m:r>
                </m:sub>
              </m:sSub>
            </m:oMath>
          </w:p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achieved</w:t>
            </w:r>
          </w:p>
        </w:tc>
        <w:tc>
          <w:tcPr>
            <w:tcW w:w="11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Optimum tilt angle</w:t>
            </w:r>
          </w:p>
        </w:tc>
      </w:tr>
      <w:tr w:rsidR="005F2742" w:rsidRPr="002C45A5" w:rsidTr="005F2742">
        <w:trPr>
          <w:trHeight w:val="767"/>
          <w:jc w:val="center"/>
        </w:trPr>
        <w:tc>
          <w:tcPr>
            <w:tcW w:w="1648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Dabra et al., 2013</w:t>
            </w:r>
          </w:p>
        </w:tc>
        <w:tc>
          <w:tcPr>
            <w:tcW w:w="144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All glass ETSC</w:t>
            </w:r>
          </w:p>
        </w:tc>
        <w:tc>
          <w:tcPr>
            <w:tcW w:w="252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ETSC setup with two distinct tilt angles i.e. 30° and 45°.</w:t>
            </w:r>
          </w:p>
        </w:tc>
        <w:tc>
          <w:tcPr>
            <w:tcW w:w="22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74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1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</w:tr>
      <w:tr w:rsidR="005F2742" w:rsidRPr="002C45A5" w:rsidTr="005F2742">
        <w:trPr>
          <w:trHeight w:val="767"/>
          <w:jc w:val="center"/>
        </w:trPr>
        <w:tc>
          <w:tcPr>
            <w:tcW w:w="1648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eastAsiaTheme="minorEastAsia" w:hAnsi="Times New Roman" w:cs="Times New Roman"/>
                <w:sz w:val="24"/>
                <w:szCs w:val="24"/>
              </w:rPr>
              <w:t>Gholipour et al., 2020</w:t>
            </w:r>
          </w:p>
        </w:tc>
        <w:tc>
          <w:tcPr>
            <w:tcW w:w="144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Vacuum tube collector</w:t>
            </w:r>
          </w:p>
        </w:tc>
        <w:tc>
          <w:tcPr>
            <w:tcW w:w="252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Vacuum tube collector with three distinct types of inserts.</w:t>
            </w:r>
          </w:p>
        </w:tc>
        <w:tc>
          <w:tcPr>
            <w:tcW w:w="22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eastAsiaTheme="minorEastAsia" w:hAnsi="Times New Roman" w:cs="Times New Roman"/>
                <w:sz w:val="24"/>
                <w:szCs w:val="24"/>
              </w:rPr>
              <w:t>55.1%</w:t>
            </w:r>
          </w:p>
        </w:tc>
        <w:tc>
          <w:tcPr>
            <w:tcW w:w="1874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1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</w:tr>
      <w:tr w:rsidR="005F2742" w:rsidRPr="002C45A5" w:rsidTr="005F2742">
        <w:trPr>
          <w:trHeight w:val="467"/>
          <w:jc w:val="center"/>
        </w:trPr>
        <w:tc>
          <w:tcPr>
            <w:tcW w:w="1648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eastAsiaTheme="minorEastAsia" w:hAnsi="Times New Roman" w:cs="Times New Roman"/>
                <w:sz w:val="24"/>
                <w:szCs w:val="24"/>
              </w:rPr>
              <w:t>Ayompe and Duffy, 2013</w:t>
            </w:r>
          </w:p>
        </w:tc>
        <w:tc>
          <w:tcPr>
            <w:tcW w:w="144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ETSC</w:t>
            </w:r>
          </w:p>
        </w:tc>
        <w:tc>
          <w:tcPr>
            <w:tcW w:w="252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ETSC incorporated with heat pipe.</w:t>
            </w:r>
          </w:p>
        </w:tc>
        <w:tc>
          <w:tcPr>
            <w:tcW w:w="22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eastAsiaTheme="minorEastAsia" w:hAnsi="Times New Roman" w:cs="Times New Roman"/>
                <w:sz w:val="24"/>
                <w:szCs w:val="24"/>
              </w:rPr>
              <w:t>52.0%</w:t>
            </w:r>
          </w:p>
        </w:tc>
        <w:tc>
          <w:tcPr>
            <w:tcW w:w="1874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70.3 °C</w:t>
            </w:r>
          </w:p>
        </w:tc>
        <w:tc>
          <w:tcPr>
            <w:tcW w:w="11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5F2742" w:rsidRPr="002C45A5" w:rsidTr="005F2742">
        <w:trPr>
          <w:trHeight w:val="350"/>
          <w:jc w:val="center"/>
        </w:trPr>
        <w:tc>
          <w:tcPr>
            <w:tcW w:w="1648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Xia and Chen, 2020</w:t>
            </w:r>
          </w:p>
        </w:tc>
        <w:tc>
          <w:tcPr>
            <w:tcW w:w="144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ETSC</w:t>
            </w:r>
          </w:p>
        </w:tc>
        <w:tc>
          <w:tcPr>
            <w:tcW w:w="252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ETSC integrated with mini-CPC reflector.</w:t>
            </w:r>
          </w:p>
        </w:tc>
        <w:tc>
          <w:tcPr>
            <w:tcW w:w="22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 xml:space="preserve">ETC with mini-CPC had a 27.2% higher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2C45A5">
              <w:rPr>
                <w:rFonts w:ascii="Times New Roman" w:hAnsi="Times New Roman" w:cs="Times New Roman"/>
                <w:sz w:val="24"/>
                <w:szCs w:val="24"/>
              </w:rPr>
              <w:t xml:space="preserve"> than the traditional collector.</w:t>
            </w:r>
          </w:p>
        </w:tc>
        <w:tc>
          <w:tcPr>
            <w:tcW w:w="1874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</w:tr>
      <w:tr w:rsidR="005F2742" w:rsidRPr="002C45A5" w:rsidTr="005F2742">
        <w:trPr>
          <w:trHeight w:val="767"/>
          <w:jc w:val="center"/>
        </w:trPr>
        <w:tc>
          <w:tcPr>
            <w:tcW w:w="1648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Naik et al., 2021</w:t>
            </w:r>
          </w:p>
        </w:tc>
        <w:tc>
          <w:tcPr>
            <w:tcW w:w="144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U Tube ETSC</w:t>
            </w:r>
          </w:p>
        </w:tc>
        <w:tc>
          <w:tcPr>
            <w:tcW w:w="252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U-tube ETSC integrated with parabolic reflector.</w:t>
            </w:r>
          </w:p>
        </w:tc>
        <w:tc>
          <w:tcPr>
            <w:tcW w:w="22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oMath>
            <w:r w:rsidRPr="002C45A5">
              <w:rPr>
                <w:rFonts w:ascii="Times New Roman" w:hAnsi="Times New Roman" w:cs="Times New Roman"/>
                <w:sz w:val="24"/>
                <w:szCs w:val="24"/>
              </w:rPr>
              <w:t xml:space="preserve"> of the collector increases by 14.1% using a parabolic reflector.</w:t>
            </w:r>
          </w:p>
        </w:tc>
        <w:tc>
          <w:tcPr>
            <w:tcW w:w="1874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1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60°</w:t>
            </w:r>
          </w:p>
        </w:tc>
      </w:tr>
      <w:tr w:rsidR="005F2742" w:rsidRPr="002C45A5" w:rsidTr="005F2742">
        <w:trPr>
          <w:trHeight w:val="767"/>
          <w:jc w:val="center"/>
        </w:trPr>
        <w:tc>
          <w:tcPr>
            <w:tcW w:w="1648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  <w:tc>
          <w:tcPr>
            <w:tcW w:w="144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ETSWH</w:t>
            </w:r>
          </w:p>
        </w:tc>
        <w:tc>
          <w:tcPr>
            <w:tcW w:w="2520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ETSWH integrated with copper and aluminium as fin materials at different inclination angles.</w:t>
            </w:r>
          </w:p>
        </w:tc>
        <w:tc>
          <w:tcPr>
            <w:tcW w:w="22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eastAsiaTheme="minorEastAsia" w:hAnsi="Times New Roman" w:cs="Times New Roman"/>
                <w:sz w:val="24"/>
                <w:szCs w:val="24"/>
              </w:rPr>
              <w:t>58.57% with copper fins.</w:t>
            </w:r>
          </w:p>
        </w:tc>
        <w:tc>
          <w:tcPr>
            <w:tcW w:w="1874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55 °C</w:t>
            </w:r>
          </w:p>
        </w:tc>
        <w:tc>
          <w:tcPr>
            <w:tcW w:w="1137" w:type="dxa"/>
          </w:tcPr>
          <w:p w:rsidR="005F2742" w:rsidRPr="002C45A5" w:rsidRDefault="005F2742" w:rsidP="00973D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5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</w:tr>
    </w:tbl>
    <w:p w:rsidR="00712641" w:rsidRDefault="00712641" w:rsidP="006530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2641" w:rsidSect="00C83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C0" w:rsidRDefault="009C05C0" w:rsidP="00350965">
      <w:pPr>
        <w:spacing w:after="0" w:line="240" w:lineRule="auto"/>
      </w:pPr>
      <w:r>
        <w:separator/>
      </w:r>
    </w:p>
  </w:endnote>
  <w:endnote w:type="continuationSeparator" w:id="1">
    <w:p w:rsidR="009C05C0" w:rsidRDefault="009C05C0" w:rsidP="0035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C0" w:rsidRDefault="009C05C0" w:rsidP="00350965">
      <w:pPr>
        <w:spacing w:after="0" w:line="240" w:lineRule="auto"/>
      </w:pPr>
      <w:r>
        <w:separator/>
      </w:r>
    </w:p>
  </w:footnote>
  <w:footnote w:type="continuationSeparator" w:id="1">
    <w:p w:rsidR="009C05C0" w:rsidRDefault="009C05C0" w:rsidP="0035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0A7"/>
    <w:multiLevelType w:val="hybridMultilevel"/>
    <w:tmpl w:val="50A2ECA6"/>
    <w:lvl w:ilvl="0" w:tplc="92C8A6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CED"/>
    <w:rsid w:val="000367CB"/>
    <w:rsid w:val="00052CFB"/>
    <w:rsid w:val="000A6F7B"/>
    <w:rsid w:val="000E0557"/>
    <w:rsid w:val="0014087F"/>
    <w:rsid w:val="00176E63"/>
    <w:rsid w:val="001B6E89"/>
    <w:rsid w:val="001D431D"/>
    <w:rsid w:val="001F5DF7"/>
    <w:rsid w:val="00221125"/>
    <w:rsid w:val="00254B06"/>
    <w:rsid w:val="002A6315"/>
    <w:rsid w:val="002A7158"/>
    <w:rsid w:val="002D37E6"/>
    <w:rsid w:val="002D437B"/>
    <w:rsid w:val="002D6CFF"/>
    <w:rsid w:val="002E7788"/>
    <w:rsid w:val="00301746"/>
    <w:rsid w:val="00350965"/>
    <w:rsid w:val="00360963"/>
    <w:rsid w:val="00374549"/>
    <w:rsid w:val="003761F1"/>
    <w:rsid w:val="003C1915"/>
    <w:rsid w:val="003C1DC5"/>
    <w:rsid w:val="003C3B19"/>
    <w:rsid w:val="00461D14"/>
    <w:rsid w:val="00464735"/>
    <w:rsid w:val="004A43C8"/>
    <w:rsid w:val="004B2D41"/>
    <w:rsid w:val="004C3265"/>
    <w:rsid w:val="004E76DF"/>
    <w:rsid w:val="004F592E"/>
    <w:rsid w:val="00514D51"/>
    <w:rsid w:val="00516E68"/>
    <w:rsid w:val="00516FDD"/>
    <w:rsid w:val="005241E3"/>
    <w:rsid w:val="005618F7"/>
    <w:rsid w:val="005751E8"/>
    <w:rsid w:val="005F0CE4"/>
    <w:rsid w:val="005F2742"/>
    <w:rsid w:val="00601612"/>
    <w:rsid w:val="006162C8"/>
    <w:rsid w:val="0065306D"/>
    <w:rsid w:val="00665CED"/>
    <w:rsid w:val="006922DB"/>
    <w:rsid w:val="00694CCF"/>
    <w:rsid w:val="00712641"/>
    <w:rsid w:val="00715340"/>
    <w:rsid w:val="0073188D"/>
    <w:rsid w:val="00732ABA"/>
    <w:rsid w:val="007477F4"/>
    <w:rsid w:val="0075414D"/>
    <w:rsid w:val="00767502"/>
    <w:rsid w:val="007E159E"/>
    <w:rsid w:val="007F52ED"/>
    <w:rsid w:val="00810EF9"/>
    <w:rsid w:val="00824A7E"/>
    <w:rsid w:val="00827165"/>
    <w:rsid w:val="008452E6"/>
    <w:rsid w:val="00851BB7"/>
    <w:rsid w:val="008871E6"/>
    <w:rsid w:val="008F7138"/>
    <w:rsid w:val="009109CF"/>
    <w:rsid w:val="00911031"/>
    <w:rsid w:val="00954DC5"/>
    <w:rsid w:val="00963CA3"/>
    <w:rsid w:val="0096592D"/>
    <w:rsid w:val="009C05C0"/>
    <w:rsid w:val="00A32BBC"/>
    <w:rsid w:val="00AA771D"/>
    <w:rsid w:val="00AD5D6B"/>
    <w:rsid w:val="00B1664C"/>
    <w:rsid w:val="00B213C2"/>
    <w:rsid w:val="00B22070"/>
    <w:rsid w:val="00B90150"/>
    <w:rsid w:val="00BD1A7C"/>
    <w:rsid w:val="00BE71A9"/>
    <w:rsid w:val="00C203CC"/>
    <w:rsid w:val="00C21924"/>
    <w:rsid w:val="00C66B3A"/>
    <w:rsid w:val="00C7436F"/>
    <w:rsid w:val="00C83350"/>
    <w:rsid w:val="00CE6B57"/>
    <w:rsid w:val="00D07E0B"/>
    <w:rsid w:val="00D25071"/>
    <w:rsid w:val="00D7765A"/>
    <w:rsid w:val="00D94B71"/>
    <w:rsid w:val="00DB542C"/>
    <w:rsid w:val="00DC1943"/>
    <w:rsid w:val="00DF4F3A"/>
    <w:rsid w:val="00E02EEC"/>
    <w:rsid w:val="00E112FF"/>
    <w:rsid w:val="00E346E4"/>
    <w:rsid w:val="00E56726"/>
    <w:rsid w:val="00F2014F"/>
    <w:rsid w:val="00FF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C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0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65"/>
  </w:style>
  <w:style w:type="paragraph" w:styleId="Footer">
    <w:name w:val="footer"/>
    <w:basedOn w:val="Normal"/>
    <w:link w:val="FooterChar"/>
    <w:uiPriority w:val="99"/>
    <w:unhideWhenUsed/>
    <w:rsid w:val="00350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65"/>
  </w:style>
  <w:style w:type="paragraph" w:styleId="ListParagraph">
    <w:name w:val="List Paragraph"/>
    <w:basedOn w:val="Normal"/>
    <w:uiPriority w:val="34"/>
    <w:qFormat/>
    <w:rsid w:val="00810E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1A7C"/>
    <w:rPr>
      <w:color w:val="0000FF"/>
      <w:u w:val="single"/>
    </w:rPr>
  </w:style>
  <w:style w:type="table" w:styleId="TableGrid">
    <w:name w:val="Table Grid"/>
    <w:basedOn w:val="TableNormal"/>
    <w:uiPriority w:val="39"/>
    <w:rsid w:val="00575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Thakur</dc:creator>
  <cp:keywords/>
  <dc:description/>
  <cp:lastModifiedBy>Dr. Tej Singh</cp:lastModifiedBy>
  <cp:revision>71</cp:revision>
  <dcterms:created xsi:type="dcterms:W3CDTF">2024-01-09T08:37:00Z</dcterms:created>
  <dcterms:modified xsi:type="dcterms:W3CDTF">2024-02-02T06:52:00Z</dcterms:modified>
</cp:coreProperties>
</file>