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3788" w14:textId="77777777" w:rsidR="0061353A" w:rsidRPr="00CE42EC" w:rsidRDefault="0061353A" w:rsidP="00CE42EC">
      <w:pPr>
        <w:widowControl/>
        <w:adjustRightInd w:val="0"/>
        <w:spacing w:after="200" w:line="228" w:lineRule="auto"/>
        <w:contextualSpacing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Superoxide Alkaline DMSO Test</w:t>
      </w:r>
    </w:p>
    <w:p w14:paraId="435E2A8E" w14:textId="77777777" w:rsidR="0061353A" w:rsidRPr="00CE42EC" w:rsidRDefault="0061353A" w:rsidP="00CE42EC">
      <w:pPr>
        <w:adjustRightInd w:val="0"/>
        <w:spacing w:before="240" w:after="240" w:line="228" w:lineRule="auto"/>
        <w:jc w:val="both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The superoxide radical test was evaluated as described by </w:t>
      </w:r>
      <w:proofErr w:type="spellStart"/>
      <w:r w:rsidRPr="00CE42EC">
        <w:rPr>
          <w:rFonts w:ascii="Palatino Linotype" w:hAnsi="Palatino Linotype" w:cstheme="majorBidi"/>
          <w:color w:val="00B0F0"/>
          <w:sz w:val="20"/>
          <w:szCs w:val="20"/>
        </w:rPr>
        <w:t>Kunchandy’s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method. 40 μL of each sample were added to 30 </w:t>
      </w:r>
      <w:proofErr w:type="spell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μL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of </w:t>
      </w:r>
      <w:proofErr w:type="spell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NBT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(</w:t>
      </w:r>
      <w:proofErr w:type="spell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nitroblue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tetrazolium) (1 mg/mL) and 130 μL of alkaline DMSO (1.0 mL DMSO, 5 </w:t>
      </w:r>
      <w:proofErr w:type="spell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mMNaOH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, 100 </w:t>
      </w:r>
      <w:proofErr w:type="spell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μL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H2O). The absorbance was measured at 560 nm, and the findings were presented as IC50 values.</w:t>
      </w:r>
      <w:r w:rsidR="007B2EFC" w:rsidRPr="00CE42EC">
        <w:rPr>
          <w:rFonts w:ascii="Palatino Linotype" w:hAnsi="Palatino Linotype"/>
          <w:sz w:val="20"/>
          <w:szCs w:val="20"/>
        </w:rPr>
        <w:t xml:space="preserve"> (</w:t>
      </w:r>
      <w:proofErr w:type="spellStart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Kunchandy</w:t>
      </w:r>
      <w:proofErr w:type="spellEnd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 xml:space="preserve"> and Rao 1990).</w:t>
      </w:r>
    </w:p>
    <w:p w14:paraId="0E9374BD" w14:textId="77777777" w:rsidR="0061353A" w:rsidRPr="00CE42EC" w:rsidRDefault="0061353A" w:rsidP="00CE42EC">
      <w:pPr>
        <w:widowControl/>
        <w:adjustRightInd w:val="0"/>
        <w:spacing w:before="240" w:line="228" w:lineRule="auto"/>
        <w:contextualSpacing/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Reducing Power Test</w:t>
      </w:r>
    </w:p>
    <w:p w14:paraId="49F22065" w14:textId="77777777" w:rsidR="0061353A" w:rsidRPr="00CE42EC" w:rsidRDefault="0061353A" w:rsidP="00CE42EC">
      <w:pPr>
        <w:adjustRightInd w:val="0"/>
        <w:spacing w:before="240" w:after="240" w:line="228" w:lineRule="auto"/>
        <w:jc w:val="both"/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</w:pP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To investigate the r</w:t>
      </w:r>
      <w:r w:rsidR="007B2EFC"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educing power effect, 10 μL of 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each extract were mixed </w:t>
      </w:r>
      <w:proofErr w:type="gram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with  40</w:t>
      </w:r>
      <w:proofErr w:type="gram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μL of 0.2 M phosphate buffer (pH 6.6) and 50 </w:t>
      </w:r>
      <w:proofErr w:type="spell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μL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of potassium ferricyanide (1%) and incubated at 50°C for 20 minutes. After that, 50 μL of TCA (trichloroacetic acid) (10%) and 10 μL of ferric chloride (0.1%) were added, and the mixture's absorbance was measured at 700 nm (</w:t>
      </w:r>
      <w:r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Oyaizu 1986)</w:t>
      </w:r>
    </w:p>
    <w:p w14:paraId="68D1A332" w14:textId="77777777" w:rsidR="0061353A" w:rsidRPr="00CE42EC" w:rsidRDefault="0061353A" w:rsidP="00CE42EC">
      <w:pPr>
        <w:widowControl/>
        <w:adjustRightInd w:val="0"/>
        <w:spacing w:before="240" w:after="240" w:line="228" w:lineRule="auto"/>
        <w:contextualSpacing/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β-Carotene/Linoleic Acid Bleaching Test</w:t>
      </w:r>
    </w:p>
    <w:p w14:paraId="4D6EB391" w14:textId="77777777" w:rsidR="0061353A" w:rsidRPr="00CE42EC" w:rsidRDefault="0061353A" w:rsidP="00C30CCF">
      <w:pPr>
        <w:spacing w:before="240" w:after="240" w:line="228" w:lineRule="auto"/>
        <w:jc w:val="both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The β-carotene bleaching activity of</w:t>
      </w:r>
      <w:r w:rsidR="00C30CCF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extract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was evaluated Following Marco's instructions (</w:t>
      </w:r>
      <w:r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Marco1968)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, with several modifications. 0.5 mg of β-carotene dissolved in 1mL of chloroform was added to 25 </w:t>
      </w:r>
      <w:proofErr w:type="spellStart"/>
      <w:r w:rsidRPr="00CE42EC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μ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L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of linoleic acid and 200 mg of Tween 40 to obtain an emulsifying mixture.</w:t>
      </w:r>
      <w:r w:rsidRPr="00CE42EC">
        <w:rPr>
          <w:rFonts w:ascii="Palatino Linotype" w:hAnsi="Palatino Linotype"/>
          <w:sz w:val="20"/>
          <w:szCs w:val="20"/>
        </w:rPr>
        <w:t xml:space="preserve"> 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After evaporating the chloroform, 100 mL of distilled water saturated with oxygen was added with strong agitation.</w:t>
      </w:r>
      <w:r w:rsidRPr="00CE42EC">
        <w:rPr>
          <w:rFonts w:ascii="Palatino Linotype" w:hAnsi="Palatino Linotype"/>
          <w:sz w:val="20"/>
          <w:szCs w:val="20"/>
        </w:rPr>
        <w:t xml:space="preserve"> 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The absorbance of the β-carotene solution should be between 0.8 and 0.9 nm.</w:t>
      </w:r>
      <w:r w:rsidRPr="00CE42EC">
        <w:rPr>
          <w:rFonts w:ascii="Palatino Linotype" w:hAnsi="Palatino Linotype"/>
          <w:sz w:val="20"/>
          <w:szCs w:val="20"/>
        </w:rPr>
        <w:t xml:space="preserve"> 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A volume of 160 </w:t>
      </w:r>
      <w:proofErr w:type="spellStart"/>
      <w:r w:rsidRPr="00CE42EC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μ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l</w:t>
      </w:r>
      <w:proofErr w:type="spell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of this prepared solution was added </w:t>
      </w:r>
      <w:proofErr w:type="gramStart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to  40</w:t>
      </w:r>
      <w:proofErr w:type="gramEnd"/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Pr="00CE42EC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μ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L of extract at the different concentrations. Absorbance was measured at 470 nm using a microplate reader. BHA and α-tocopherol were used as standards.</w:t>
      </w:r>
    </w:p>
    <w:p w14:paraId="2AEBABED" w14:textId="77777777" w:rsidR="0061353A" w:rsidRPr="00CE42EC" w:rsidRDefault="0061353A" w:rsidP="00CE42EC">
      <w:pPr>
        <w:widowControl/>
        <w:adjustRightInd w:val="0"/>
        <w:spacing w:before="240" w:line="228" w:lineRule="auto"/>
        <w:contextualSpacing/>
        <w:rPr>
          <w:rFonts w:ascii="Palatino Linotype" w:hAnsi="Palatino Linotype" w:cstheme="majorBidi"/>
          <w:b/>
          <w:bCs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sz w:val="20"/>
          <w:szCs w:val="20"/>
        </w:rPr>
        <w:t>Cupric Reducing Antioxidant Capacity (CUPRAC) Assay</w:t>
      </w:r>
    </w:p>
    <w:p w14:paraId="2E2F6C4E" w14:textId="77777777" w:rsidR="0061353A" w:rsidRPr="00CE42EC" w:rsidRDefault="0061353A" w:rsidP="00CE42EC">
      <w:pPr>
        <w:adjustRightInd w:val="0"/>
        <w:spacing w:before="240" w:line="228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The reduction of copper was determined by the CUPRAC method described by </w:t>
      </w:r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Apak et al. 2004</w:t>
      </w:r>
      <w:r w:rsidRPr="00CE42EC">
        <w:rPr>
          <w:rFonts w:ascii="Palatino Linotype" w:hAnsi="Palatino Linotype" w:cstheme="majorBidi"/>
          <w:color w:val="00B0F0"/>
          <w:sz w:val="20"/>
          <w:szCs w:val="20"/>
        </w:rPr>
        <w:t xml:space="preserve">. </w:t>
      </w:r>
      <w:r w:rsidRPr="00CE42EC">
        <w:rPr>
          <w:rFonts w:ascii="Palatino Linotype" w:hAnsi="Palatino Linotype" w:cstheme="majorBidi"/>
          <w:sz w:val="20"/>
          <w:szCs w:val="20"/>
        </w:rPr>
        <w:t>In brief ,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Pr="00CE42EC">
        <w:rPr>
          <w:rFonts w:ascii="Palatino Linotype" w:hAnsi="Palatino Linotype" w:cstheme="majorBidi"/>
          <w:sz w:val="20"/>
          <w:szCs w:val="20"/>
        </w:rPr>
        <w:t>the solutions tests were prepared by mixing 50 </w:t>
      </w:r>
      <w:r w:rsidRPr="00CE42EC">
        <w:rPr>
          <w:rStyle w:val="Accentuation"/>
          <w:rFonts w:ascii="Palatino Linotype" w:hAnsi="Palatino Linotype" w:cstheme="majorBidi"/>
          <w:color w:val="0E101A"/>
          <w:sz w:val="20"/>
          <w:szCs w:val="20"/>
        </w:rPr>
        <w:t>μ</w:t>
      </w:r>
      <w:r w:rsidRPr="00CE42EC">
        <w:rPr>
          <w:rFonts w:ascii="Palatino Linotype" w:hAnsi="Palatino Linotype" w:cstheme="majorBidi"/>
          <w:sz w:val="20"/>
          <w:szCs w:val="20"/>
        </w:rPr>
        <w:t>L Cu (II) (10 mM), 50 </w:t>
      </w:r>
      <w:proofErr w:type="spellStart"/>
      <w:r w:rsidRPr="00CE42EC">
        <w:rPr>
          <w:rStyle w:val="Accentuation"/>
          <w:rFonts w:ascii="Palatino Linotype" w:hAnsi="Palatino Linotype" w:cstheme="majorBidi"/>
          <w:color w:val="0E101A"/>
          <w:sz w:val="20"/>
          <w:szCs w:val="20"/>
        </w:rPr>
        <w:t>μ</w:t>
      </w:r>
      <w:r w:rsidRPr="00CE42EC">
        <w:rPr>
          <w:rFonts w:ascii="Palatino Linotype" w:hAnsi="Palatino Linotype" w:cstheme="majorBidi"/>
          <w:sz w:val="20"/>
          <w:szCs w:val="20"/>
        </w:rPr>
        <w:t>L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neocuprine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(7.5 mM), and 60 </w:t>
      </w:r>
      <w:proofErr w:type="spellStart"/>
      <w:r w:rsidRPr="00CE42EC">
        <w:rPr>
          <w:rStyle w:val="Accentuation"/>
          <w:rFonts w:ascii="Palatino Linotype" w:hAnsi="Palatino Linotype" w:cstheme="majorBidi"/>
          <w:color w:val="0E101A"/>
          <w:sz w:val="20"/>
          <w:szCs w:val="20"/>
        </w:rPr>
        <w:t>μ</w:t>
      </w:r>
      <w:r w:rsidRPr="00CE42EC">
        <w:rPr>
          <w:rFonts w:ascii="Palatino Linotype" w:hAnsi="Palatino Linotype" w:cstheme="majorBidi"/>
          <w:sz w:val="20"/>
          <w:szCs w:val="20"/>
        </w:rPr>
        <w:t>L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of NH4Ac buffer solution (1 M, pH = 7.0). To produce a final volume of 200 μL in each well of the microplate, different concentrations of extracts were added to the initial mixture</w:t>
      </w:r>
      <w:r w:rsidRPr="00CE42EC">
        <w:rPr>
          <w:rFonts w:ascii="Palatino Linotype" w:hAnsi="Palatino Linotype" w:cstheme="majorBidi"/>
          <w:color w:val="000000" w:themeColor="text1"/>
          <w:sz w:val="20"/>
          <w:szCs w:val="20"/>
        </w:rPr>
        <w:t>.</w:t>
      </w:r>
      <w:r w:rsidRPr="00CE42EC">
        <w:rPr>
          <w:rFonts w:ascii="Palatino Linotype" w:hAnsi="Palatino Linotype" w:cstheme="majorBidi"/>
          <w:sz w:val="20"/>
          <w:szCs w:val="20"/>
        </w:rPr>
        <w:t xml:space="preserve"> the absorbance was measured at 450 nm After 1 hour. The results were calculated as A0.5 (</w:t>
      </w:r>
      <w:proofErr w:type="spellStart"/>
      <w:r w:rsidRPr="00CE42EC">
        <w:rPr>
          <w:rStyle w:val="Accentuation"/>
          <w:rFonts w:ascii="Palatino Linotype" w:hAnsi="Palatino Linotype" w:cstheme="majorBidi"/>
          <w:color w:val="0E101A"/>
          <w:sz w:val="20"/>
          <w:szCs w:val="20"/>
        </w:rPr>
        <w:t>μ</w:t>
      </w:r>
      <w:r w:rsidRPr="00CE42EC">
        <w:rPr>
          <w:rFonts w:ascii="Palatino Linotype" w:hAnsi="Palatino Linotype" w:cstheme="majorBidi"/>
          <w:sz w:val="20"/>
          <w:szCs w:val="20"/>
        </w:rPr>
        <w:t>g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/ mL) corresponding to the concentration indicating 0.50 absorbance and the reducing capacity compared to those of α-tocopherol and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BHT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>.</w:t>
      </w:r>
    </w:p>
    <w:p w14:paraId="6C5AB191" w14:textId="77777777" w:rsidR="0061353A" w:rsidRPr="00CE42EC" w:rsidRDefault="0061353A" w:rsidP="00CE42EC">
      <w:pPr>
        <w:adjustRightInd w:val="0"/>
        <w:spacing w:before="240" w:line="228" w:lineRule="auto"/>
        <w:rPr>
          <w:rFonts w:ascii="Palatino Linotype" w:hAnsi="Palatino Linotype" w:cstheme="majorBidi"/>
          <w:b/>
          <w:bCs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sz w:val="20"/>
          <w:szCs w:val="20"/>
        </w:rPr>
        <w:t>Hydroxyl Radical Scavenging Assay</w:t>
      </w:r>
    </w:p>
    <w:p w14:paraId="6E5B0195" w14:textId="77777777" w:rsidR="007B2EFC" w:rsidRPr="00CE42EC" w:rsidRDefault="0061353A" w:rsidP="00CE42EC">
      <w:pPr>
        <w:adjustRightInd w:val="0"/>
        <w:spacing w:before="240" w:line="228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CE42EC">
        <w:rPr>
          <w:rFonts w:ascii="Palatino Linotype" w:hAnsi="Palatino Linotype" w:cstheme="majorBidi"/>
          <w:sz w:val="20"/>
          <w:szCs w:val="20"/>
        </w:rPr>
        <w:t xml:space="preserve">The modified Smirnoff and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Cumbes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approach was used to assess the Hydroxyl Radical Scavenging Assay. 40 μL of each sample was mixed with 80 μL salicylic acid (3 mM), 24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μL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FeSO4 (8 mM), and 20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μL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H2O2 (20 mM). The microplate was incubated at 37 °C for 30 min. After </w:t>
      </w:r>
      <w:proofErr w:type="gramStart"/>
      <w:r w:rsidRPr="00CE42EC">
        <w:rPr>
          <w:rFonts w:ascii="Palatino Linotype" w:hAnsi="Palatino Linotype" w:cstheme="majorBidi"/>
          <w:sz w:val="20"/>
          <w:szCs w:val="20"/>
        </w:rPr>
        <w:t>that,  36</w:t>
      </w:r>
      <w:proofErr w:type="gramEnd"/>
      <w:r w:rsidRPr="00CE42EC">
        <w:rPr>
          <w:rFonts w:ascii="Palatino Linotype" w:hAnsi="Palatino Linotype" w:cstheme="majorBidi"/>
          <w:sz w:val="20"/>
          <w:szCs w:val="20"/>
        </w:rPr>
        <w:t xml:space="preserve"> μL H2O was added and the absorbance was measured at 510 nm. The result was calculated given as an IC50 </w:t>
      </w:r>
      <w:proofErr w:type="gramStart"/>
      <w:r w:rsidRPr="00CE42EC">
        <w:rPr>
          <w:rFonts w:ascii="Palatino Linotype" w:hAnsi="Palatino Linotype" w:cstheme="majorBidi"/>
          <w:sz w:val="20"/>
          <w:szCs w:val="20"/>
        </w:rPr>
        <w:t>value.</w:t>
      </w:r>
      <w:r w:rsidR="007B2EFC" w:rsidRPr="00CE42EC">
        <w:rPr>
          <w:rFonts w:ascii="Palatino Linotype" w:hAnsi="Palatino Linotype" w:cstheme="majorBidi"/>
          <w:sz w:val="20"/>
          <w:szCs w:val="20"/>
        </w:rPr>
        <w:t>(</w:t>
      </w:r>
      <w:proofErr w:type="gramEnd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 xml:space="preserve"> Smirnoff and Cumbes 1989)</w:t>
      </w:r>
    </w:p>
    <w:p w14:paraId="34589F59" w14:textId="77777777" w:rsidR="0061353A" w:rsidRPr="00CE42EC" w:rsidRDefault="0061353A" w:rsidP="00CE42EC">
      <w:pPr>
        <w:adjustRightInd w:val="0"/>
        <w:spacing w:before="240" w:line="228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sz w:val="20"/>
          <w:szCs w:val="20"/>
        </w:rPr>
        <w:t>O‐Phenanthroline Assay</w:t>
      </w:r>
    </w:p>
    <w:p w14:paraId="46E5FAAA" w14:textId="77777777" w:rsidR="0061353A" w:rsidRPr="00CE42EC" w:rsidRDefault="0061353A" w:rsidP="00CE42EC">
      <w:pPr>
        <w:adjustRightInd w:val="0"/>
        <w:spacing w:before="240" w:after="240" w:line="228" w:lineRule="auto"/>
        <w:jc w:val="both"/>
        <w:rPr>
          <w:rFonts w:ascii="Palatino Linotype" w:hAnsi="Palatino Linotype" w:cstheme="majorBidi"/>
          <w:sz w:val="20"/>
          <w:szCs w:val="20"/>
        </w:rPr>
      </w:pPr>
      <w:r w:rsidRPr="00CE42EC">
        <w:rPr>
          <w:rFonts w:ascii="Palatino Linotype" w:hAnsi="Palatino Linotype" w:cstheme="majorBidi"/>
          <w:sz w:val="20"/>
          <w:szCs w:val="20"/>
        </w:rPr>
        <w:t>The method described by Szydlowska‐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Czerniaka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et al. [</w:t>
      </w:r>
      <w:proofErr w:type="spellStart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Szydłowska</w:t>
      </w:r>
      <w:proofErr w:type="spellEnd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-Czerniak et al ., 2008</w:t>
      </w:r>
      <w:r w:rsidRPr="00CE42EC">
        <w:rPr>
          <w:rFonts w:ascii="Palatino Linotype" w:hAnsi="Palatino Linotype" w:cstheme="majorBidi"/>
          <w:sz w:val="20"/>
          <w:szCs w:val="20"/>
        </w:rPr>
        <w:t xml:space="preserve">] was used with no modifications. 10 μL of each extract was mixed with 30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μ</w:t>
      </w:r>
      <w:r w:rsidR="007B2EFC" w:rsidRPr="00CE42EC">
        <w:rPr>
          <w:rFonts w:ascii="Palatino Linotype" w:hAnsi="Palatino Linotype" w:cstheme="majorBidi"/>
          <w:sz w:val="20"/>
          <w:szCs w:val="20"/>
        </w:rPr>
        <w:t>L</w:t>
      </w:r>
      <w:proofErr w:type="spellEnd"/>
      <w:r w:rsidR="007B2EFC" w:rsidRPr="00CE42EC">
        <w:rPr>
          <w:rFonts w:ascii="Palatino Linotype" w:hAnsi="Palatino Linotype" w:cstheme="majorBidi"/>
          <w:sz w:val="20"/>
          <w:szCs w:val="20"/>
        </w:rPr>
        <w:t xml:space="preserve"> </w:t>
      </w:r>
      <w:r w:rsidRPr="00CE42EC">
        <w:rPr>
          <w:rFonts w:ascii="Palatino Linotype" w:hAnsi="Palatino Linotype" w:cstheme="majorBidi"/>
          <w:sz w:val="20"/>
          <w:szCs w:val="20"/>
        </w:rPr>
        <w:t>o‐phenanthroline (0.5% in methanol), 50 μL FeCl3 (0.2%), 110 μL methanol. After the incubation at 30 °</w:t>
      </w:r>
      <w:proofErr w:type="gramStart"/>
      <w:r w:rsidRPr="00CE42EC">
        <w:rPr>
          <w:rFonts w:ascii="Palatino Linotype" w:hAnsi="Palatino Linotype" w:cstheme="majorBidi"/>
          <w:sz w:val="20"/>
          <w:szCs w:val="20"/>
        </w:rPr>
        <w:t>C,  the</w:t>
      </w:r>
      <w:proofErr w:type="gramEnd"/>
      <w:r w:rsidRPr="00CE42EC">
        <w:rPr>
          <w:rFonts w:ascii="Palatino Linotype" w:hAnsi="Palatino Linotype" w:cstheme="majorBidi"/>
          <w:sz w:val="20"/>
          <w:szCs w:val="20"/>
        </w:rPr>
        <w:t xml:space="preserve"> absorbance was measured at 510 nm. The result was given as an A0.5 value.</w:t>
      </w:r>
    </w:p>
    <w:p w14:paraId="7FCE23B8" w14:textId="77777777" w:rsidR="007B2EFC" w:rsidRPr="00CE42EC" w:rsidRDefault="0061353A" w:rsidP="00CE42EC">
      <w:pPr>
        <w:widowControl/>
        <w:adjustRightInd w:val="0"/>
        <w:spacing w:before="240" w:after="240" w:line="228" w:lineRule="auto"/>
        <w:contextualSpacing/>
        <w:jc w:val="both"/>
        <w:rPr>
          <w:rFonts w:ascii="Palatino Linotype" w:hAnsi="Palatino Linotype" w:cstheme="majorBidi"/>
          <w:b/>
          <w:bCs/>
          <w:sz w:val="20"/>
          <w:szCs w:val="20"/>
        </w:rPr>
      </w:pPr>
      <w:r w:rsidRPr="00CE42EC">
        <w:rPr>
          <w:rFonts w:ascii="Palatino Linotype" w:hAnsi="Palatino Linotype" w:cstheme="majorBidi"/>
          <w:b/>
          <w:bCs/>
          <w:sz w:val="20"/>
          <w:szCs w:val="20"/>
        </w:rPr>
        <w:t>Silver Nanoparticle-Based Method</w:t>
      </w:r>
    </w:p>
    <w:p w14:paraId="223D537D" w14:textId="77777777" w:rsidR="0061353A" w:rsidRPr="00CE42EC" w:rsidRDefault="0061353A" w:rsidP="00CE42EC">
      <w:pPr>
        <w:widowControl/>
        <w:adjustRightInd w:val="0"/>
        <w:spacing w:before="240" w:after="240" w:line="228" w:lineRule="auto"/>
        <w:contextualSpacing/>
        <w:jc w:val="both"/>
        <w:rPr>
          <w:rFonts w:ascii="Palatino Linotype" w:hAnsi="Palatino Linotype" w:cstheme="majorBidi"/>
          <w:b/>
          <w:bCs/>
          <w:sz w:val="20"/>
          <w:szCs w:val="20"/>
        </w:rPr>
      </w:pPr>
      <w:r w:rsidRPr="00CE42EC">
        <w:rPr>
          <w:rFonts w:ascii="Palatino Linotype" w:hAnsi="Palatino Linotype" w:cstheme="majorBidi"/>
          <w:sz w:val="20"/>
          <w:szCs w:val="20"/>
        </w:rPr>
        <w:t xml:space="preserve">The principle of this method is to reduce the Ag+ to spherical silver nanoparticles (SNP) </w:t>
      </w:r>
      <w:r w:rsidR="007B2EFC" w:rsidRPr="00CE42EC">
        <w:rPr>
          <w:rFonts w:ascii="Palatino Linotype" w:hAnsi="Palatino Linotype" w:cstheme="majorBidi"/>
          <w:sz w:val="20"/>
          <w:szCs w:val="20"/>
        </w:rPr>
        <w:t>(</w:t>
      </w:r>
      <w:proofErr w:type="spellStart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O</w:t>
      </w:r>
      <w:r w:rsidR="007B2EFC" w:rsidRPr="00CE42EC">
        <w:rPr>
          <w:rFonts w:asciiTheme="majorBidi" w:hAnsiTheme="majorBidi" w:cstheme="majorBidi"/>
          <w:noProof/>
          <w:color w:val="0070C0"/>
          <w:sz w:val="20"/>
          <w:szCs w:val="20"/>
        </w:rPr>
        <w:t>̈</w:t>
      </w:r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zyu</w:t>
      </w:r>
      <w:r w:rsidR="007B2EFC" w:rsidRPr="00CE42EC">
        <w:rPr>
          <w:rFonts w:asciiTheme="majorBidi" w:hAnsiTheme="majorBidi" w:cstheme="majorBidi"/>
          <w:noProof/>
          <w:color w:val="0070C0"/>
          <w:sz w:val="20"/>
          <w:szCs w:val="20"/>
        </w:rPr>
        <w:t>̈</w:t>
      </w:r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>rek</w:t>
      </w:r>
      <w:proofErr w:type="spellEnd"/>
      <w:r w:rsidR="007B2EFC" w:rsidRPr="00CE42EC">
        <w:rPr>
          <w:rFonts w:ascii="Palatino Linotype" w:hAnsi="Palatino Linotype" w:cstheme="majorBidi"/>
          <w:noProof/>
          <w:color w:val="0070C0"/>
          <w:sz w:val="20"/>
          <w:szCs w:val="20"/>
        </w:rPr>
        <w:t xml:space="preserve"> et al. 2012</w:t>
      </w:r>
      <w:r w:rsidR="007B2EFC" w:rsidRPr="00CE42EC">
        <w:rPr>
          <w:rFonts w:ascii="Palatino Linotype" w:hAnsi="Palatino Linotype" w:cstheme="majorBidi"/>
          <w:sz w:val="20"/>
          <w:szCs w:val="20"/>
        </w:rPr>
        <w:t>)</w:t>
      </w:r>
      <w:r w:rsidRPr="00CE42EC">
        <w:rPr>
          <w:rFonts w:ascii="Palatino Linotype" w:hAnsi="Palatino Linotype" w:cstheme="majorBidi"/>
          <w:sz w:val="20"/>
          <w:szCs w:val="20"/>
        </w:rPr>
        <w:t xml:space="preserve">. The mixture containing 130 μL of SNP solution, 50 μL of H2O, and 20 μL of the extract was incubated at 25 °C for 30 min, by using the </w:t>
      </w:r>
      <w:proofErr w:type="spellStart"/>
      <w:r w:rsidRPr="00CE42EC">
        <w:rPr>
          <w:rFonts w:ascii="Palatino Linotype" w:hAnsi="Palatino Linotype" w:cstheme="majorBidi"/>
          <w:sz w:val="20"/>
          <w:szCs w:val="20"/>
        </w:rPr>
        <w:t>microplc</w:t>
      </w:r>
      <w:proofErr w:type="spellEnd"/>
      <w:r w:rsidRPr="00CE42EC">
        <w:rPr>
          <w:rFonts w:ascii="Palatino Linotype" w:hAnsi="Palatino Linotype" w:cstheme="majorBidi"/>
          <w:sz w:val="20"/>
          <w:szCs w:val="20"/>
        </w:rPr>
        <w:t xml:space="preserve"> reader, the absorbance was measured at 423 nm and the results were given as A0.5 value</w:t>
      </w:r>
    </w:p>
    <w:p w14:paraId="25B8AFD0" w14:textId="77777777" w:rsidR="0061353A" w:rsidRPr="007C2BA4" w:rsidRDefault="0061353A" w:rsidP="0061353A">
      <w:pPr>
        <w:rPr>
          <w:rFonts w:eastAsiaTheme="minorHAnsi"/>
          <w:b/>
          <w:bCs/>
          <w:sz w:val="24"/>
          <w:szCs w:val="24"/>
        </w:rPr>
      </w:pPr>
    </w:p>
    <w:p w14:paraId="393D8A64" w14:textId="77777777" w:rsidR="00526110" w:rsidRPr="00CE42EC" w:rsidRDefault="00526110"/>
    <w:sectPr w:rsidR="00526110" w:rsidRPr="00CE42EC" w:rsidSect="0052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7FB"/>
    <w:multiLevelType w:val="multilevel"/>
    <w:tmpl w:val="03B8F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5743C1"/>
    <w:multiLevelType w:val="multilevel"/>
    <w:tmpl w:val="61428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  <w:b w:val="0"/>
      </w:rPr>
    </w:lvl>
  </w:abstractNum>
  <w:num w:numId="1" w16cid:durableId="636421842">
    <w:abstractNumId w:val="1"/>
  </w:num>
  <w:num w:numId="2" w16cid:durableId="114106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3A"/>
    <w:rsid w:val="0021406F"/>
    <w:rsid w:val="002260FB"/>
    <w:rsid w:val="002A50D0"/>
    <w:rsid w:val="00526110"/>
    <w:rsid w:val="0061353A"/>
    <w:rsid w:val="007B2EFC"/>
    <w:rsid w:val="00B074D6"/>
    <w:rsid w:val="00C30CCF"/>
    <w:rsid w:val="00C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E730"/>
  <w15:docId w15:val="{6D0E6F88-45C2-4B0F-9827-26F6B89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3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TitreTR"/>
    <w:next w:val="Normal"/>
    <w:link w:val="Titre1Car"/>
    <w:uiPriority w:val="9"/>
    <w:qFormat/>
    <w:rsid w:val="0061353A"/>
    <w:pPr>
      <w:keepNext/>
      <w:keepLines/>
      <w:spacing w:before="480" w:line="360" w:lineRule="auto"/>
      <w:jc w:val="center"/>
      <w:outlineLvl w:val="0"/>
    </w:pPr>
    <w:rPr>
      <w:rFonts w:asciiTheme="majorBidi" w:hAnsiTheme="majorBidi"/>
      <w:bCs w:val="0"/>
      <w:i/>
      <w:color w:val="FF3399"/>
      <w:sz w:val="28"/>
      <w:szCs w:val="28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53A"/>
    <w:rPr>
      <w:rFonts w:asciiTheme="majorBidi" w:eastAsiaTheme="majorEastAsia" w:hAnsiTheme="majorBidi" w:cstheme="majorBidi"/>
      <w:b/>
      <w:i/>
      <w:color w:val="FF3399"/>
      <w:sz w:val="28"/>
      <w:szCs w:val="28"/>
      <w:lang w:val="en-US" w:bidi="en-US"/>
    </w:rPr>
  </w:style>
  <w:style w:type="paragraph" w:styleId="Paragraphedeliste">
    <w:name w:val="List Paragraph"/>
    <w:basedOn w:val="Normal"/>
    <w:uiPriority w:val="1"/>
    <w:qFormat/>
    <w:rsid w:val="0061353A"/>
    <w:pPr>
      <w:ind w:left="566" w:hanging="454"/>
      <w:jc w:val="both"/>
    </w:pPr>
  </w:style>
  <w:style w:type="character" w:styleId="Accentuation">
    <w:name w:val="Emphasis"/>
    <w:basedOn w:val="Policepardfaut"/>
    <w:uiPriority w:val="20"/>
    <w:qFormat/>
    <w:rsid w:val="0061353A"/>
    <w:rPr>
      <w:i/>
      <w:iCs/>
    </w:rPr>
  </w:style>
  <w:style w:type="paragraph" w:customStyle="1" w:styleId="Default">
    <w:name w:val="Default"/>
    <w:rsid w:val="006135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DPI31text">
    <w:name w:val="MDPI_3.1_text"/>
    <w:qFormat/>
    <w:rsid w:val="0061353A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TitreTR">
    <w:name w:val="toa heading"/>
    <w:basedOn w:val="Normal"/>
    <w:next w:val="Normal"/>
    <w:uiPriority w:val="99"/>
    <w:semiHidden/>
    <w:unhideWhenUsed/>
    <w:rsid w:val="006135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sabrina.lekmin.400@gmail.com</cp:lastModifiedBy>
  <cp:revision>2</cp:revision>
  <dcterms:created xsi:type="dcterms:W3CDTF">2023-12-01T20:24:00Z</dcterms:created>
  <dcterms:modified xsi:type="dcterms:W3CDTF">2023-12-01T20:24:00Z</dcterms:modified>
</cp:coreProperties>
</file>