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A33A" w14:textId="77777777" w:rsidR="005802D7" w:rsidRDefault="005802D7" w:rsidP="005802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Experimental and Statistical approach to Understand the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dsorption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roperties of Hazardous Cr(VI) on </w:t>
      </w:r>
      <w:r w:rsidRPr="008A511F">
        <w:rPr>
          <w:rFonts w:ascii="Times New Roman" w:hAnsi="Times New Roman" w:cs="Times New Roman"/>
          <w:b/>
          <w:bCs/>
          <w:sz w:val="28"/>
          <w:szCs w:val="28"/>
        </w:rPr>
        <w:t>Al</w:t>
      </w:r>
      <w:r w:rsidRPr="008A511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A511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A511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8A511F">
        <w:rPr>
          <w:rFonts w:ascii="Times New Roman" w:hAnsi="Times New Roman" w:cs="Times New Roman"/>
          <w:b/>
          <w:bCs/>
          <w:sz w:val="28"/>
          <w:szCs w:val="28"/>
        </w:rPr>
        <w:t>@TiFe</w:t>
      </w:r>
      <w:r w:rsidRPr="008A511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A511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A511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8A5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Nanocomposite: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n efficient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95623D">
        <w:rPr>
          <w:rFonts w:ascii="Times New Roman" w:hAnsi="Times New Roman" w:cs="Times New Roman"/>
          <w:b/>
          <w:bCs/>
          <w:color w:val="0070C0"/>
          <w:sz w:val="28"/>
          <w:szCs w:val="28"/>
        </w:rPr>
        <w:t>dsorbent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for W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 xml:space="preserve">ater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494D13">
        <w:rPr>
          <w:rFonts w:ascii="Times New Roman" w:hAnsi="Times New Roman" w:cs="Times New Roman"/>
          <w:b/>
          <w:bCs/>
          <w:sz w:val="28"/>
          <w:szCs w:val="28"/>
        </w:rPr>
        <w:t>reatment</w:t>
      </w:r>
      <w:r w:rsidRPr="0095623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2B300058" w14:textId="77777777" w:rsidR="00A47840" w:rsidRPr="000E468B" w:rsidRDefault="00A47840" w:rsidP="007D6A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0D1D1" w14:textId="77777777" w:rsidR="00A47840" w:rsidRDefault="00A47840" w:rsidP="00A4784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D67CF" w14:textId="0F254265" w:rsidR="00034660" w:rsidRPr="00A47840" w:rsidRDefault="00034660" w:rsidP="00A4784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840">
        <w:rPr>
          <w:rFonts w:ascii="Times New Roman" w:hAnsi="Times New Roman" w:cs="Times New Roman"/>
          <w:b/>
          <w:bCs/>
          <w:sz w:val="24"/>
          <w:szCs w:val="24"/>
        </w:rPr>
        <w:t>Kinetic, isotherm and thermodynamic study</w:t>
      </w:r>
    </w:p>
    <w:p w14:paraId="53142FBD" w14:textId="61D57732" w:rsidR="00034660" w:rsidRPr="000E468B" w:rsidRDefault="00034660" w:rsidP="000346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>Kinetic (Zeinab</w:t>
      </w:r>
      <w:r w:rsidRPr="000E468B">
        <w:rPr>
          <w:rStyle w:val="given-name"/>
          <w:rFonts w:ascii="Times New Roman" w:hAnsi="Times New Roman" w:cs="Times New Roman"/>
          <w:sz w:val="24"/>
          <w:szCs w:val="24"/>
        </w:rPr>
        <w:t xml:space="preserve"> et al., 2019; </w:t>
      </w:r>
      <w:proofErr w:type="spellStart"/>
      <w:r w:rsidRPr="000E468B">
        <w:rPr>
          <w:rStyle w:val="given-name"/>
          <w:rFonts w:ascii="Times New Roman" w:hAnsi="Times New Roman" w:cs="Times New Roman"/>
          <w:color w:val="1F1F1F"/>
          <w:sz w:val="24"/>
          <w:szCs w:val="24"/>
        </w:rPr>
        <w:t>Grégorio</w:t>
      </w:r>
      <w:proofErr w:type="spellEnd"/>
      <w:r w:rsidRPr="000E468B">
        <w:rPr>
          <w:rFonts w:ascii="Times New Roman" w:hAnsi="Times New Roman" w:cs="Times New Roman"/>
          <w:color w:val="1F1F1F"/>
          <w:sz w:val="24"/>
          <w:szCs w:val="24"/>
        </w:rPr>
        <w:t xml:space="preserve"> et al., 2008; </w:t>
      </w:r>
      <w:r w:rsidRPr="000E468B">
        <w:rPr>
          <w:rFonts w:ascii="Times New Roman" w:hAnsi="Times New Roman" w:cs="Times New Roman"/>
          <w:sz w:val="24"/>
          <w:szCs w:val="24"/>
        </w:rPr>
        <w:t xml:space="preserve">Umesh et al., 2021) isotherm, and thermodynamic investigations are used to better understand the mechanism of adsorptions.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E468B">
        <w:rPr>
          <w:rFonts w:ascii="Times New Roman" w:hAnsi="Times New Roman" w:cs="Times New Roman"/>
          <w:sz w:val="24"/>
          <w:szCs w:val="24"/>
        </w:rPr>
        <w:t>ll the equations for kinetic, isothermal, and thermodynamic studies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08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given in supplement file</w:t>
      </w:r>
      <w:r w:rsidRPr="000E46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3D4796" w14:textId="77777777" w:rsidR="00C55919" w:rsidRDefault="00C55919"/>
    <w:tbl>
      <w:tblPr>
        <w:tblW w:w="9576" w:type="dxa"/>
        <w:tblInd w:w="-108" w:type="dxa"/>
        <w:tblLook w:val="04A0" w:firstRow="1" w:lastRow="0" w:firstColumn="1" w:lastColumn="0" w:noHBand="0" w:noVBand="1"/>
      </w:tblPr>
      <w:tblGrid>
        <w:gridCol w:w="3708"/>
        <w:gridCol w:w="4500"/>
        <w:gridCol w:w="1368"/>
      </w:tblGrid>
      <w:tr w:rsidR="00D15B1F" w:rsidRPr="000E468B" w14:paraId="1E72FF0F" w14:textId="77777777" w:rsidTr="00442C62">
        <w:tc>
          <w:tcPr>
            <w:tcW w:w="3708" w:type="dxa"/>
            <w:vAlign w:val="center"/>
          </w:tcPr>
          <w:p w14:paraId="2FBECEA8" w14:textId="77777777" w:rsidR="00D15B1F" w:rsidRPr="000E468B" w:rsidRDefault="00D15B1F" w:rsidP="00442C62">
            <w:pPr>
              <w:tabs>
                <w:tab w:val="center" w:pos="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B">
              <w:rPr>
                <w:rFonts w:ascii="Times New Roman" w:hAnsi="Times New Roman" w:cs="Times New Roman"/>
                <w:sz w:val="24"/>
                <w:szCs w:val="24"/>
              </w:rPr>
              <w:t>Pseudo- first-order equation:</w:t>
            </w:r>
          </w:p>
        </w:tc>
        <w:tc>
          <w:tcPr>
            <w:tcW w:w="4500" w:type="dxa"/>
            <w:vAlign w:val="center"/>
          </w:tcPr>
          <w:p w14:paraId="460AD753" w14:textId="77777777" w:rsidR="00D15B1F" w:rsidRPr="000E468B" w:rsidRDefault="00745F0A" w:rsidP="00442C62">
            <w:pPr>
              <w:tabs>
                <w:tab w:val="center" w:pos="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2.303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368" w:type="dxa"/>
            <w:vAlign w:val="center"/>
          </w:tcPr>
          <w:p w14:paraId="28F37241" w14:textId="77777777" w:rsidR="00D15B1F" w:rsidRPr="000E468B" w:rsidRDefault="00D15B1F" w:rsidP="00A4784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D15B1F" w:rsidRPr="000E468B" w14:paraId="36333E98" w14:textId="77777777" w:rsidTr="00442C62">
        <w:tc>
          <w:tcPr>
            <w:tcW w:w="3708" w:type="dxa"/>
            <w:vAlign w:val="center"/>
          </w:tcPr>
          <w:p w14:paraId="3CAF94F4" w14:textId="77777777" w:rsidR="00D15B1F" w:rsidRPr="000E468B" w:rsidRDefault="00D15B1F" w:rsidP="00442C62">
            <w:pPr>
              <w:tabs>
                <w:tab w:val="center" w:pos="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B">
              <w:rPr>
                <w:rFonts w:ascii="Times New Roman" w:hAnsi="Times New Roman" w:cs="Times New Roman"/>
                <w:sz w:val="24"/>
                <w:szCs w:val="24"/>
              </w:rPr>
              <w:t>Pseudo- second-order equation:</w:t>
            </w:r>
          </w:p>
        </w:tc>
        <w:tc>
          <w:tcPr>
            <w:tcW w:w="4500" w:type="dxa"/>
            <w:vAlign w:val="center"/>
          </w:tcPr>
          <w:p w14:paraId="36F21874" w14:textId="77777777" w:rsidR="00D15B1F" w:rsidRPr="000E468B" w:rsidRDefault="00745F0A" w:rsidP="00442C62">
            <w:pPr>
              <w:tabs>
                <w:tab w:val="center" w:pos="0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)t</m:t>
                </m:r>
              </m:oMath>
            </m:oMathPara>
          </w:p>
        </w:tc>
        <w:tc>
          <w:tcPr>
            <w:tcW w:w="1368" w:type="dxa"/>
            <w:vAlign w:val="center"/>
          </w:tcPr>
          <w:p w14:paraId="00A0DC62" w14:textId="77777777" w:rsidR="00D15B1F" w:rsidRPr="000E468B" w:rsidRDefault="00D15B1F" w:rsidP="00442C6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14:paraId="66F52063" w14:textId="77777777" w:rsidR="00D15B1F" w:rsidRPr="000E468B" w:rsidRDefault="00D15B1F" w:rsidP="00D15B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7318" w14:textId="77777777" w:rsidR="00D15B1F" w:rsidRPr="000E468B" w:rsidRDefault="00D15B1F" w:rsidP="00D15B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>Langmuir isotherm (Irving et al., 1918) equation is:</w:t>
      </w:r>
    </w:p>
    <w:p w14:paraId="44944698" w14:textId="4919CFD8" w:rsidR="00D15B1F" w:rsidRPr="000E468B" w:rsidRDefault="00D15B1F" w:rsidP="00D15B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68B">
        <w:rPr>
          <w:rFonts w:ascii="Times New Roman" w:hAnsi="Times New Roman" w:cs="Times New Roman"/>
          <w:sz w:val="24"/>
          <w:szCs w:val="24"/>
        </w:rPr>
        <w:t>q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 xml:space="preserve"> α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</w:rPr>
        <w:t>/K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</w:rPr>
        <w:t>C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>/(1+</w:t>
      </w:r>
      <w:proofErr w:type="gramStart"/>
      <w:r w:rsidRPr="000E468B">
        <w:rPr>
          <w:rFonts w:ascii="Times New Roman" w:hAnsi="Times New Roman" w:cs="Times New Roman"/>
          <w:sz w:val="24"/>
          <w:szCs w:val="24"/>
        </w:rPr>
        <w:t>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</w:rPr>
        <w:t>C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0E468B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="00A478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E468B">
        <w:rPr>
          <w:rFonts w:ascii="Times New Roman" w:hAnsi="Times New Roman" w:cs="Times New Roman"/>
          <w:sz w:val="24"/>
          <w:szCs w:val="24"/>
        </w:rPr>
        <w:t>(3)</w:t>
      </w:r>
    </w:p>
    <w:p w14:paraId="07651E1F" w14:textId="77777777" w:rsidR="00D15B1F" w:rsidRPr="000E468B" w:rsidRDefault="00D15B1F" w:rsidP="00D15B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>The linear form of the equation:</w:t>
      </w:r>
    </w:p>
    <w:p w14:paraId="4D414A20" w14:textId="722322BA" w:rsidR="00D15B1F" w:rsidRPr="000E468B" w:rsidRDefault="00D15B1F" w:rsidP="00D15B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>C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0E46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q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 xml:space="preserve"> = C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0E468B">
        <w:rPr>
          <w:rFonts w:ascii="Times New Roman" w:hAnsi="Times New Roman" w:cs="Times New Roman"/>
          <w:sz w:val="24"/>
          <w:szCs w:val="24"/>
        </w:rPr>
        <w:t>α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</w:rPr>
        <w:t>/K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</w:rPr>
        <w:t xml:space="preserve"> +1/K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47840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proofErr w:type="gramStart"/>
      <w:r w:rsidR="00A4784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0E46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468B">
        <w:rPr>
          <w:rFonts w:ascii="Times New Roman" w:hAnsi="Times New Roman" w:cs="Times New Roman"/>
          <w:sz w:val="24"/>
          <w:szCs w:val="24"/>
        </w:rPr>
        <w:t>4)</w:t>
      </w:r>
    </w:p>
    <w:p w14:paraId="5CC596AC" w14:textId="77777777" w:rsidR="00D15B1F" w:rsidRPr="000E468B" w:rsidRDefault="00D15B1F" w:rsidP="00D15B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 xml:space="preserve">The Freundlich (Herbert et al., 1939) isotherm model is described by:  </w:t>
      </w:r>
    </w:p>
    <w:p w14:paraId="233237A7" w14:textId="3A439B18" w:rsidR="00D15B1F" w:rsidRPr="000E468B" w:rsidRDefault="00D15B1F" w:rsidP="00D15B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68B">
        <w:rPr>
          <w:rFonts w:ascii="Times New Roman" w:hAnsi="Times New Roman" w:cs="Times New Roman"/>
          <w:sz w:val="24"/>
          <w:szCs w:val="24"/>
        </w:rPr>
        <w:t>q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 xml:space="preserve"> = 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0E468B">
        <w:rPr>
          <w:rFonts w:ascii="Times New Roman" w:hAnsi="Times New Roman" w:cs="Times New Roman"/>
          <w:sz w:val="24"/>
          <w:szCs w:val="24"/>
        </w:rPr>
        <w:t>C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>1/n</w:t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468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45F0A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proofErr w:type="gramStart"/>
      <w:r w:rsidR="00745F0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0E46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468B">
        <w:rPr>
          <w:rFonts w:ascii="Times New Roman" w:hAnsi="Times New Roman" w:cs="Times New Roman"/>
          <w:sz w:val="24"/>
          <w:szCs w:val="24"/>
        </w:rPr>
        <w:t>5)</w:t>
      </w:r>
    </w:p>
    <w:p w14:paraId="588DBC1C" w14:textId="77777777" w:rsidR="00D15B1F" w:rsidRPr="000E468B" w:rsidRDefault="00D15B1F" w:rsidP="00D15B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>The linear form of the equation</w:t>
      </w:r>
    </w:p>
    <w:p w14:paraId="50767216" w14:textId="6828D9B3" w:rsidR="00D15B1F" w:rsidRPr="000E468B" w:rsidRDefault="00D15B1F" w:rsidP="00D15B1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 xml:space="preserve">ln 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q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 xml:space="preserve"> = ln 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K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lnC</w:t>
      </w:r>
      <w:r w:rsidRPr="000E468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nf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Pr="000E468B">
        <w:rPr>
          <w:rFonts w:ascii="Times New Roman" w:hAnsi="Times New Roman" w:cs="Times New Roman"/>
          <w:sz w:val="24"/>
          <w:szCs w:val="24"/>
        </w:rPr>
        <w:tab/>
      </w:r>
      <w:r w:rsidR="00745F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45F0A">
        <w:rPr>
          <w:rFonts w:ascii="Times New Roman" w:hAnsi="Times New Roman" w:cs="Times New Roman"/>
          <w:sz w:val="24"/>
          <w:szCs w:val="24"/>
        </w:rPr>
        <w:t xml:space="preserve">   </w:t>
      </w:r>
      <w:r w:rsidRPr="000E46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E468B">
        <w:rPr>
          <w:rFonts w:ascii="Times New Roman" w:hAnsi="Times New Roman" w:cs="Times New Roman"/>
          <w:sz w:val="24"/>
          <w:szCs w:val="24"/>
        </w:rPr>
        <w:t>6)</w:t>
      </w:r>
    </w:p>
    <w:p w14:paraId="6B038FC1" w14:textId="77777777" w:rsidR="00D15B1F" w:rsidRPr="000E468B" w:rsidRDefault="00D15B1F" w:rsidP="00D15B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B">
        <w:rPr>
          <w:rFonts w:ascii="Times New Roman" w:hAnsi="Times New Roman" w:cs="Times New Roman"/>
          <w:sz w:val="24"/>
          <w:szCs w:val="24"/>
        </w:rPr>
        <w:t xml:space="preserve">The Temkin (Yin et al., 2020) model is plotted between 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0E46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468B">
        <w:rPr>
          <w:rFonts w:ascii="Times New Roman" w:hAnsi="Times New Roman" w:cs="Times New Roman"/>
          <w:sz w:val="24"/>
          <w:szCs w:val="24"/>
        </w:rPr>
        <w:t>lnCe</w:t>
      </w:r>
      <w:proofErr w:type="spellEnd"/>
    </w:p>
    <w:p w14:paraId="02AED02F" w14:textId="1A81EA6E" w:rsidR="00D15B1F" w:rsidRPr="000E468B" w:rsidRDefault="00D15B1F" w:rsidP="00D15B1F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468B">
        <w:rPr>
          <w:rFonts w:ascii="Times New Roman" w:hAnsi="Times New Roman" w:cs="Times New Roman"/>
          <w:bCs/>
          <w:sz w:val="24"/>
          <w:szCs w:val="24"/>
        </w:rPr>
        <w:t>q</w:t>
      </w:r>
      <w:r w:rsidRPr="000E468B"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proofErr w:type="spellEnd"/>
      <w:r w:rsidRPr="000E468B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0E468B">
        <w:rPr>
          <w:rFonts w:ascii="Times New Roman" w:hAnsi="Times New Roman" w:cs="Times New Roman"/>
          <w:bCs/>
          <w:sz w:val="24"/>
          <w:szCs w:val="24"/>
        </w:rPr>
        <w:t>B</w:t>
      </w:r>
      <w:r w:rsidRPr="000E468B">
        <w:rPr>
          <w:rFonts w:ascii="Times New Roman" w:hAnsi="Times New Roman" w:cs="Times New Roman"/>
          <w:bCs/>
          <w:sz w:val="24"/>
          <w:szCs w:val="24"/>
          <w:vertAlign w:val="subscript"/>
        </w:rPr>
        <w:t>l</w:t>
      </w:r>
      <w:proofErr w:type="spellEnd"/>
      <w:r w:rsidRPr="000E468B">
        <w:rPr>
          <w:rFonts w:ascii="Times New Roman" w:hAnsi="Times New Roman" w:cs="Times New Roman"/>
          <w:bCs/>
          <w:sz w:val="24"/>
          <w:szCs w:val="24"/>
        </w:rPr>
        <w:t xml:space="preserve"> ln KT + </w:t>
      </w:r>
      <w:proofErr w:type="spellStart"/>
      <w:r w:rsidRPr="000E468B">
        <w:rPr>
          <w:rFonts w:ascii="Times New Roman" w:hAnsi="Times New Roman" w:cs="Times New Roman"/>
          <w:bCs/>
          <w:sz w:val="24"/>
          <w:szCs w:val="24"/>
        </w:rPr>
        <w:t>B</w:t>
      </w:r>
      <w:r w:rsidRPr="000E468B">
        <w:rPr>
          <w:rFonts w:ascii="Times New Roman" w:hAnsi="Times New Roman" w:cs="Times New Roman"/>
          <w:bCs/>
          <w:sz w:val="24"/>
          <w:szCs w:val="24"/>
          <w:vertAlign w:val="subscript"/>
        </w:rPr>
        <w:t>l</w:t>
      </w:r>
      <w:proofErr w:type="spellEnd"/>
      <w:r w:rsidRPr="000E468B">
        <w:rPr>
          <w:rFonts w:ascii="Times New Roman" w:hAnsi="Times New Roman" w:cs="Times New Roman"/>
          <w:bCs/>
          <w:sz w:val="24"/>
          <w:szCs w:val="24"/>
        </w:rPr>
        <w:t xml:space="preserve"> ln Ce    </w:t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Pr="000E468B">
        <w:rPr>
          <w:rFonts w:ascii="Times New Roman" w:hAnsi="Times New Roman" w:cs="Times New Roman"/>
          <w:bCs/>
          <w:sz w:val="24"/>
          <w:szCs w:val="24"/>
        </w:rPr>
        <w:tab/>
      </w:r>
      <w:r w:rsidR="00745F0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bookmarkStart w:id="0" w:name="_GoBack"/>
      <w:bookmarkEnd w:id="0"/>
      <w:r w:rsidRPr="000E468B">
        <w:rPr>
          <w:rFonts w:ascii="Times New Roman" w:hAnsi="Times New Roman" w:cs="Times New Roman"/>
          <w:bCs/>
          <w:sz w:val="24"/>
          <w:szCs w:val="24"/>
        </w:rPr>
        <w:t>(7)</w:t>
      </w:r>
    </w:p>
    <w:p w14:paraId="6014E26F" w14:textId="77777777" w:rsidR="00917D17" w:rsidRDefault="00917D17" w:rsidP="00B44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245FA" w14:textId="77777777" w:rsidR="00917D17" w:rsidRDefault="00917D17" w:rsidP="00B44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DBD22" w14:textId="1C3FA24E" w:rsidR="00B4478D" w:rsidRPr="00917D17" w:rsidRDefault="00B4478D" w:rsidP="00B44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D17">
        <w:rPr>
          <w:rFonts w:ascii="Times New Roman" w:hAnsi="Times New Roman" w:cs="Times New Roman"/>
          <w:b/>
          <w:bCs/>
          <w:sz w:val="24"/>
          <w:szCs w:val="24"/>
        </w:rPr>
        <w:t>Table S1:</w:t>
      </w:r>
      <w:r w:rsidRPr="00917D17">
        <w:rPr>
          <w:rFonts w:ascii="Times New Roman" w:hAnsi="Times New Roman" w:cs="Times New Roman"/>
          <w:sz w:val="24"/>
          <w:szCs w:val="24"/>
        </w:rPr>
        <w:t xml:space="preserve"> Wt % elemental Composition of synthesized </w:t>
      </w:r>
      <w:r w:rsidRPr="00917D17">
        <w:rPr>
          <w:rFonts w:ascii="Times New Roman" w:hAnsi="Times New Roman" w:cs="Times New Roman"/>
          <w:bCs/>
          <w:sz w:val="24"/>
          <w:szCs w:val="24"/>
        </w:rPr>
        <w:t>Al</w:t>
      </w:r>
      <w:r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17D17">
        <w:rPr>
          <w:rFonts w:ascii="Times New Roman" w:hAnsi="Times New Roman" w:cs="Times New Roman"/>
          <w:bCs/>
          <w:sz w:val="24"/>
          <w:szCs w:val="24"/>
        </w:rPr>
        <w:t>O</w:t>
      </w:r>
      <w:r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17D17">
        <w:rPr>
          <w:rFonts w:ascii="Times New Roman" w:hAnsi="Times New Roman" w:cs="Times New Roman"/>
          <w:bCs/>
          <w:sz w:val="24"/>
          <w:szCs w:val="24"/>
        </w:rPr>
        <w:t>@TiFe</w:t>
      </w:r>
      <w:r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17D17">
        <w:rPr>
          <w:rFonts w:ascii="Times New Roman" w:hAnsi="Times New Roman" w:cs="Times New Roman"/>
          <w:bCs/>
          <w:sz w:val="24"/>
          <w:szCs w:val="24"/>
        </w:rPr>
        <w:t>O</w:t>
      </w:r>
      <w:r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1338"/>
        <w:gridCol w:w="1267"/>
      </w:tblGrid>
      <w:tr w:rsidR="00B4478D" w:rsidRPr="000E468B" w14:paraId="61293C8E" w14:textId="77777777" w:rsidTr="00442C62">
        <w:trPr>
          <w:trHeight w:val="367"/>
          <w:jc w:val="center"/>
        </w:trPr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</w:tcPr>
          <w:p w14:paraId="64DDABE6" w14:textId="77777777" w:rsidR="00B4478D" w:rsidRPr="000E468B" w:rsidRDefault="00B4478D" w:rsidP="00442C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68B">
              <w:rPr>
                <w:rFonts w:ascii="Times New Roman" w:hAnsi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18" w:space="0" w:color="auto"/>
            </w:tcBorders>
          </w:tcPr>
          <w:p w14:paraId="27187BC9" w14:textId="77777777" w:rsidR="00B4478D" w:rsidRPr="000E468B" w:rsidRDefault="00B4478D" w:rsidP="00442C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68B">
              <w:rPr>
                <w:rFonts w:ascii="Times New Roman" w:hAnsi="Times New Roman"/>
                <w:b/>
                <w:bCs/>
                <w:sz w:val="24"/>
                <w:szCs w:val="24"/>
              </w:rPr>
              <w:t>Wt%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</w:tcPr>
          <w:p w14:paraId="715190B4" w14:textId="77777777" w:rsidR="00B4478D" w:rsidRPr="000E468B" w:rsidRDefault="00B4478D" w:rsidP="00442C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68B">
              <w:rPr>
                <w:rFonts w:ascii="Times New Roman" w:hAnsi="Times New Roman"/>
                <w:b/>
                <w:bCs/>
                <w:sz w:val="24"/>
                <w:szCs w:val="24"/>
              </w:rPr>
              <w:t>Wt% Sigma</w:t>
            </w:r>
          </w:p>
        </w:tc>
      </w:tr>
      <w:tr w:rsidR="00B4478D" w:rsidRPr="000E468B" w14:paraId="509F79CA" w14:textId="77777777" w:rsidTr="00442C62">
        <w:trPr>
          <w:trHeight w:val="262"/>
          <w:jc w:val="center"/>
        </w:trPr>
        <w:tc>
          <w:tcPr>
            <w:tcW w:w="1410" w:type="dxa"/>
            <w:tcBorders>
              <w:top w:val="single" w:sz="18" w:space="0" w:color="auto"/>
            </w:tcBorders>
          </w:tcPr>
          <w:p w14:paraId="0604F479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338" w:type="dxa"/>
            <w:tcBorders>
              <w:top w:val="single" w:sz="18" w:space="0" w:color="auto"/>
            </w:tcBorders>
          </w:tcPr>
          <w:p w14:paraId="0723741E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39.49</w:t>
            </w:r>
          </w:p>
        </w:tc>
        <w:tc>
          <w:tcPr>
            <w:tcW w:w="1267" w:type="dxa"/>
            <w:tcBorders>
              <w:top w:val="single" w:sz="18" w:space="0" w:color="auto"/>
            </w:tcBorders>
          </w:tcPr>
          <w:p w14:paraId="762A522D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2.65</w:t>
            </w:r>
          </w:p>
        </w:tc>
      </w:tr>
      <w:tr w:rsidR="00B4478D" w:rsidRPr="000E468B" w14:paraId="1F766987" w14:textId="77777777" w:rsidTr="00442C62">
        <w:trPr>
          <w:trHeight w:val="367"/>
          <w:jc w:val="center"/>
        </w:trPr>
        <w:tc>
          <w:tcPr>
            <w:tcW w:w="1410" w:type="dxa"/>
          </w:tcPr>
          <w:p w14:paraId="11101486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1338" w:type="dxa"/>
          </w:tcPr>
          <w:p w14:paraId="30F01FDD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267" w:type="dxa"/>
          </w:tcPr>
          <w:p w14:paraId="07032A32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B4478D" w:rsidRPr="000E468B" w14:paraId="203E20C7" w14:textId="77777777" w:rsidTr="00442C62">
        <w:trPr>
          <w:trHeight w:val="367"/>
          <w:jc w:val="center"/>
        </w:trPr>
        <w:tc>
          <w:tcPr>
            <w:tcW w:w="1410" w:type="dxa"/>
          </w:tcPr>
          <w:p w14:paraId="1CBB1DB6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Ti</w:t>
            </w:r>
          </w:p>
        </w:tc>
        <w:tc>
          <w:tcPr>
            <w:tcW w:w="1338" w:type="dxa"/>
          </w:tcPr>
          <w:p w14:paraId="516F9566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34.69</w:t>
            </w:r>
          </w:p>
        </w:tc>
        <w:tc>
          <w:tcPr>
            <w:tcW w:w="1267" w:type="dxa"/>
          </w:tcPr>
          <w:p w14:paraId="40C3526E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B4478D" w:rsidRPr="000E468B" w14:paraId="6022AFDB" w14:textId="77777777" w:rsidTr="00442C62">
        <w:trPr>
          <w:trHeight w:val="367"/>
          <w:jc w:val="center"/>
        </w:trPr>
        <w:tc>
          <w:tcPr>
            <w:tcW w:w="1410" w:type="dxa"/>
            <w:tcBorders>
              <w:bottom w:val="single" w:sz="18" w:space="0" w:color="auto"/>
            </w:tcBorders>
          </w:tcPr>
          <w:p w14:paraId="0A7C2B78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338" w:type="dxa"/>
            <w:tcBorders>
              <w:bottom w:val="single" w:sz="18" w:space="0" w:color="auto"/>
            </w:tcBorders>
          </w:tcPr>
          <w:p w14:paraId="589C3E69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23.67</w:t>
            </w:r>
          </w:p>
        </w:tc>
        <w:tc>
          <w:tcPr>
            <w:tcW w:w="1267" w:type="dxa"/>
            <w:tcBorders>
              <w:bottom w:val="single" w:sz="18" w:space="0" w:color="auto"/>
            </w:tcBorders>
          </w:tcPr>
          <w:p w14:paraId="7D13153D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8B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B4478D" w:rsidRPr="000E468B" w14:paraId="3DEE67CC" w14:textId="77777777" w:rsidTr="00442C62">
        <w:trPr>
          <w:trHeight w:val="367"/>
          <w:jc w:val="center"/>
        </w:trPr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</w:tcPr>
          <w:p w14:paraId="2DC15793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68B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38" w:type="dxa"/>
            <w:tcBorders>
              <w:top w:val="single" w:sz="18" w:space="0" w:color="auto"/>
              <w:bottom w:val="single" w:sz="18" w:space="0" w:color="auto"/>
            </w:tcBorders>
          </w:tcPr>
          <w:p w14:paraId="6D497545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68B">
              <w:rPr>
                <w:rFonts w:ascii="Times New Roman" w:hAnsi="Times New Roman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</w:tcPr>
          <w:p w14:paraId="3624D439" w14:textId="77777777" w:rsidR="00B4478D" w:rsidRPr="000E468B" w:rsidRDefault="00B4478D" w:rsidP="00442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4A9B2" w14:textId="77777777" w:rsidR="00D15B1F" w:rsidRDefault="00D15B1F"/>
    <w:p w14:paraId="375F9DF2" w14:textId="77777777" w:rsidR="00060481" w:rsidRPr="00060481" w:rsidRDefault="00060481" w:rsidP="00060481"/>
    <w:p w14:paraId="6AA8F5DF" w14:textId="6FCFE499" w:rsidR="00060481" w:rsidRDefault="00060481" w:rsidP="00060481">
      <w:pPr>
        <w:ind w:firstLine="720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1581A6D0" wp14:editId="069F5F5C">
            <wp:extent cx="4572000" cy="2743200"/>
            <wp:effectExtent l="0" t="0" r="0" b="0"/>
            <wp:docPr id="18421814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644B5F-D6EB-8BC5-4934-046B98DB2D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35772C" w14:textId="3B57A5C6" w:rsidR="00F13050" w:rsidRPr="00F13050" w:rsidRDefault="00F13050" w:rsidP="00F13050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43C4D" w:rsidRPr="00AD2611">
        <w:rPr>
          <w:rFonts w:ascii="Times New Roman" w:hAnsi="Times New Roman" w:cs="Times New Roman"/>
          <w:b/>
          <w:bCs/>
          <w:sz w:val="24"/>
          <w:szCs w:val="24"/>
        </w:rPr>
        <w:t>Fig. S1:</w:t>
      </w:r>
      <w:r w:rsidR="00C4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4D">
        <w:rPr>
          <w:rFonts w:ascii="Times New Roman" w:hAnsi="Times New Roman" w:cs="Times New Roman"/>
          <w:sz w:val="24"/>
          <w:szCs w:val="24"/>
        </w:rPr>
        <w:t>pHpzc</w:t>
      </w:r>
      <w:proofErr w:type="spellEnd"/>
      <w:r w:rsidR="00C43C4D">
        <w:rPr>
          <w:rFonts w:ascii="Times New Roman" w:hAnsi="Times New Roman" w:cs="Times New Roman"/>
          <w:sz w:val="24"/>
          <w:szCs w:val="24"/>
        </w:rPr>
        <w:t xml:space="preserve"> of </w:t>
      </w:r>
      <w:r w:rsidR="00C43C4D" w:rsidRPr="00917D17">
        <w:rPr>
          <w:rFonts w:ascii="Times New Roman" w:hAnsi="Times New Roman" w:cs="Times New Roman"/>
          <w:bCs/>
          <w:sz w:val="24"/>
          <w:szCs w:val="24"/>
        </w:rPr>
        <w:t>Al</w:t>
      </w:r>
      <w:r w:rsidR="00C43C4D"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C43C4D" w:rsidRPr="00917D17">
        <w:rPr>
          <w:rFonts w:ascii="Times New Roman" w:hAnsi="Times New Roman" w:cs="Times New Roman"/>
          <w:bCs/>
          <w:sz w:val="24"/>
          <w:szCs w:val="24"/>
        </w:rPr>
        <w:t>O</w:t>
      </w:r>
      <w:r w:rsidR="00C43C4D"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C43C4D" w:rsidRPr="00917D17">
        <w:rPr>
          <w:rFonts w:ascii="Times New Roman" w:hAnsi="Times New Roman" w:cs="Times New Roman"/>
          <w:bCs/>
          <w:sz w:val="24"/>
          <w:szCs w:val="24"/>
        </w:rPr>
        <w:t>@TiFe</w:t>
      </w:r>
      <w:r w:rsidR="00C43C4D"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C43C4D" w:rsidRPr="00917D17">
        <w:rPr>
          <w:rFonts w:ascii="Times New Roman" w:hAnsi="Times New Roman" w:cs="Times New Roman"/>
          <w:bCs/>
          <w:sz w:val="24"/>
          <w:szCs w:val="24"/>
        </w:rPr>
        <w:t>O</w:t>
      </w:r>
      <w:r w:rsidR="00C43C4D" w:rsidRPr="00917D1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sectPr w:rsidR="00F13050" w:rsidRPr="00F1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4B4"/>
    <w:multiLevelType w:val="multilevel"/>
    <w:tmpl w:val="D24E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2NDc1MjUwMDMxNzJT0lEKTi0uzszPAykwrgUAzlw75CwAAAA="/>
  </w:docVars>
  <w:rsids>
    <w:rsidRoot w:val="00F00E8C"/>
    <w:rsid w:val="00034660"/>
    <w:rsid w:val="00060481"/>
    <w:rsid w:val="005802D7"/>
    <w:rsid w:val="00745F0A"/>
    <w:rsid w:val="007D6AA9"/>
    <w:rsid w:val="0091408F"/>
    <w:rsid w:val="00917D17"/>
    <w:rsid w:val="009450EA"/>
    <w:rsid w:val="00A47840"/>
    <w:rsid w:val="00AD2611"/>
    <w:rsid w:val="00B041C2"/>
    <w:rsid w:val="00B4478D"/>
    <w:rsid w:val="00C004B3"/>
    <w:rsid w:val="00C43C4D"/>
    <w:rsid w:val="00C55919"/>
    <w:rsid w:val="00C7362F"/>
    <w:rsid w:val="00D15B1F"/>
    <w:rsid w:val="00E62F87"/>
    <w:rsid w:val="00EE6BC1"/>
    <w:rsid w:val="00F00E8C"/>
    <w:rsid w:val="00F1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2E18"/>
  <w15:chartTrackingRefBased/>
  <w15:docId w15:val="{2700A5BD-6E9E-46A8-906F-88A77390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A9"/>
    <w:pPr>
      <w:spacing w:after="200" w:line="276" w:lineRule="auto"/>
    </w:pPr>
    <w:rPr>
      <w:rFonts w:ascii="Calibri" w:eastAsia="Times New Roman" w:hAnsi="Calibri" w:cs="Mang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660"/>
    <w:pPr>
      <w:ind w:left="720"/>
      <w:contextualSpacing/>
    </w:pPr>
  </w:style>
  <w:style w:type="character" w:customStyle="1" w:styleId="given-name">
    <w:name w:val="given-name"/>
    <w:basedOn w:val="DefaultParagraphFont"/>
    <w:rsid w:val="00034660"/>
  </w:style>
  <w:style w:type="table" w:customStyle="1" w:styleId="TableGrid1">
    <w:name w:val="Table Grid1"/>
    <w:basedOn w:val="TableNormal"/>
    <w:next w:val="TableGrid"/>
    <w:uiPriority w:val="59"/>
    <w:rsid w:val="00B447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4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7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I:\Ganesh\Aamir\AlTiFeO_Cr%20Double%20layer%201_07_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46981627296588"/>
          <c:y val="5.0925925925925923E-2"/>
          <c:w val="0.85408573928258968"/>
          <c:h val="0.7450306211723535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pHpzc!$B$2</c:f>
              <c:strCache>
                <c:ptCount val="1"/>
                <c:pt idx="0">
                  <c:v>pHi</c:v>
                </c:pt>
              </c:strCache>
            </c:strRef>
          </c:tx>
          <c:spPr>
            <a:ln w="95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xVal>
            <c:numRef>
              <c:f>pHpzc!$A$3:$A$12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pHpzc!$B$3:$B$12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68B-4DDE-9B92-616E73207568}"/>
            </c:ext>
          </c:extLst>
        </c:ser>
        <c:ser>
          <c:idx val="1"/>
          <c:order val="1"/>
          <c:tx>
            <c:strRef>
              <c:f>pHpzc!$C$2</c:f>
              <c:strCache>
                <c:ptCount val="1"/>
                <c:pt idx="0">
                  <c:v>pHf</c:v>
                </c:pt>
              </c:strCache>
            </c:strRef>
          </c:tx>
          <c:spPr>
            <a:ln w="95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xVal>
            <c:numRef>
              <c:f>pHpzc!$A$3:$A$12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pHpzc!$C$3:$C$12</c:f>
              <c:numCache>
                <c:formatCode>General</c:formatCode>
                <c:ptCount val="10"/>
                <c:pt idx="0">
                  <c:v>3.5</c:v>
                </c:pt>
                <c:pt idx="1">
                  <c:v>4</c:v>
                </c:pt>
                <c:pt idx="2">
                  <c:v>4.2</c:v>
                </c:pt>
                <c:pt idx="3">
                  <c:v>4.5</c:v>
                </c:pt>
                <c:pt idx="4">
                  <c:v>5</c:v>
                </c:pt>
                <c:pt idx="5">
                  <c:v>5.5</c:v>
                </c:pt>
                <c:pt idx="6">
                  <c:v>6</c:v>
                </c:pt>
                <c:pt idx="7">
                  <c:v>6.5</c:v>
                </c:pt>
                <c:pt idx="8">
                  <c:v>7</c:v>
                </c:pt>
                <c:pt idx="9">
                  <c:v>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68B-4DDE-9B92-616E73207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0476048"/>
        <c:axId val="700473888"/>
      </c:scatterChart>
      <c:valAx>
        <c:axId val="700476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 i="0" u="none" strike="noStrike" kern="1200" baseline="0">
                    <a:solidFill>
                      <a:srgbClr val="44546A"/>
                    </a:solidFill>
                  </a:rPr>
                  <a:t>Initial pH</a:t>
                </a:r>
              </a:p>
            </c:rich>
          </c:tx>
          <c:layout>
            <c:manualLayout>
              <c:xMode val="edge"/>
              <c:yMode val="edge"/>
              <c:x val="0.44810279965004379"/>
              <c:y val="0.892099008457276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473888"/>
        <c:crosses val="autoZero"/>
        <c:crossBetween val="midCat"/>
        <c:majorUnit val="1"/>
      </c:valAx>
      <c:valAx>
        <c:axId val="7004738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 i="0" u="none" strike="noStrike" kern="1200" baseline="0">
                    <a:solidFill>
                      <a:srgbClr val="44546A"/>
                    </a:solidFill>
                  </a:rPr>
                  <a:t>final pH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200" b="1" i="0" u="none" strike="noStrike" kern="1200" baseline="0">
                  <a:solidFill>
                    <a:srgbClr val="44546A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4760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0.56042</cdr:x>
      <cdr:y>0.62326</cdr:y>
    </cdr:from>
    <cdr:to>
      <cdr:x>0.67708</cdr:x>
      <cdr:y>0.73785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607C383D-B568-B1AC-8B4A-03A49234547D}"/>
            </a:ext>
          </a:extLst>
        </cdr:cNvPr>
        <cdr:cNvSpPr txBox="1"/>
      </cdr:nvSpPr>
      <cdr:spPr>
        <a:xfrm xmlns:a="http://schemas.openxmlformats.org/drawingml/2006/main">
          <a:off x="2562225" y="1709738"/>
          <a:ext cx="5334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IN" sz="1100"/>
            <a:t>pH</a:t>
          </a:r>
          <a:r>
            <a:rPr lang="en-IN" sz="1100" baseline="-25000"/>
            <a:t>pzc</a:t>
          </a:r>
          <a:r>
            <a:rPr lang="en-IN" sz="1100"/>
            <a:t>=5</a:t>
          </a:r>
        </a:p>
      </cdr:txBody>
    </cdr:sp>
  </cdr:relSizeAnchor>
  <cdr:relSizeAnchor xmlns:cdr="http://schemas.openxmlformats.org/drawingml/2006/chartDrawing">
    <cdr:from>
      <cdr:x>0.48958</cdr:x>
      <cdr:y>0.49653</cdr:y>
    </cdr:from>
    <cdr:to>
      <cdr:x>0.49375</cdr:x>
      <cdr:y>0.80556</cdr:y>
    </cdr:to>
    <cdr:cxnSp macro="">
      <cdr:nvCxnSpPr>
        <cdr:cNvPr id="4" name="Straight Arrow Connector 3"/>
        <cdr:cNvCxnSpPr/>
      </cdr:nvCxnSpPr>
      <cdr:spPr>
        <a:xfrm xmlns:a="http://schemas.openxmlformats.org/drawingml/2006/main" flipH="1">
          <a:off x="2238375" y="1362075"/>
          <a:ext cx="19050" cy="8477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0.51042</cdr:x>
      <cdr:y>0.68056</cdr:y>
    </cdr:from>
    <cdr:to>
      <cdr:x>0.57292</cdr:x>
      <cdr:y>0.78472</cdr:y>
    </cdr:to>
    <cdr:cxnSp macro="">
      <cdr:nvCxnSpPr>
        <cdr:cNvPr id="6" name="Straight Arrow Connector 5"/>
        <cdr:cNvCxnSpPr/>
      </cdr:nvCxnSpPr>
      <cdr:spPr>
        <a:xfrm xmlns:a="http://schemas.openxmlformats.org/drawingml/2006/main" flipH="1">
          <a:off x="2333625" y="1866900"/>
          <a:ext cx="285750" cy="2857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Dell-Laptop</dc:creator>
  <cp:keywords/>
  <dc:description/>
  <cp:lastModifiedBy>Amir Ahmed Hossain</cp:lastModifiedBy>
  <cp:revision>18</cp:revision>
  <dcterms:created xsi:type="dcterms:W3CDTF">2023-11-01T13:05:00Z</dcterms:created>
  <dcterms:modified xsi:type="dcterms:W3CDTF">2024-02-25T07:32:00Z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2024-02-20T22:22:57Z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36e4e830-d302-4851-a0f0-065129e9a81f</vt:lpwstr>
  </property>
  <property fmtid="{D5CDD505-2E9C-101B-9397-08002B2CF9AE}" pid="7" name="MSIP_Label_defa4170-0d19-0005-0004-bc88714345d2_ActionId">
    <vt:lpwstr>f15c4a63-b77c-4578-b87c-754c2143384b</vt:lpwstr>
  </property>
  <property fmtid="{D5CDD505-2E9C-101B-9397-08002B2CF9AE}" pid="8" name="MSIP_Label_defa4170-0d19-0005-0004-bc88714345d2_ContentBits">
    <vt:lpwstr>0</vt:lpwstr>
  </property>
</Properties>
</file>