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D7" w:rsidRPr="00FC0B68" w:rsidRDefault="002211DE" w:rsidP="002211DE">
      <w:pPr>
        <w:jc w:val="center"/>
        <w:rPr>
          <w:sz w:val="32"/>
          <w:szCs w:val="32"/>
        </w:rPr>
      </w:pPr>
      <w:r w:rsidRPr="00FC0B68">
        <w:rPr>
          <w:sz w:val="32"/>
          <w:szCs w:val="32"/>
        </w:rPr>
        <w:t>Supplementary data</w:t>
      </w:r>
    </w:p>
    <w:p w:rsidR="006B0968" w:rsidRPr="001D1A9C" w:rsidRDefault="006B0968" w:rsidP="006B0968">
      <w:pPr>
        <w:jc w:val="center"/>
        <w:rPr>
          <w:b/>
          <w:sz w:val="28"/>
          <w:szCs w:val="28"/>
        </w:rPr>
      </w:pPr>
      <w:r w:rsidRPr="001D1A9C">
        <w:rPr>
          <w:b/>
          <w:sz w:val="28"/>
          <w:szCs w:val="28"/>
        </w:rPr>
        <w:t>Kinetics of the catalytic oxidation of toluene over Mn</w:t>
      </w:r>
      <w:proofErr w:type="gramStart"/>
      <w:r w:rsidRPr="001D1A9C">
        <w:rPr>
          <w:b/>
          <w:sz w:val="28"/>
          <w:szCs w:val="28"/>
        </w:rPr>
        <w:t>,Cu</w:t>
      </w:r>
      <w:proofErr w:type="gramEnd"/>
      <w:r w:rsidRPr="001D1A9C">
        <w:rPr>
          <w:b/>
          <w:sz w:val="28"/>
          <w:szCs w:val="28"/>
        </w:rPr>
        <w:t xml:space="preserve"> co-doped Fe</w:t>
      </w:r>
      <w:r w:rsidRPr="001D1A9C">
        <w:rPr>
          <w:b/>
          <w:sz w:val="28"/>
          <w:szCs w:val="28"/>
          <w:vertAlign w:val="subscript"/>
        </w:rPr>
        <w:t>2</w:t>
      </w:r>
      <w:r w:rsidRPr="001D1A9C">
        <w:rPr>
          <w:b/>
          <w:sz w:val="28"/>
          <w:szCs w:val="28"/>
        </w:rPr>
        <w:t>O</w:t>
      </w:r>
      <w:r w:rsidRPr="001D1A9C">
        <w:rPr>
          <w:b/>
          <w:sz w:val="28"/>
          <w:szCs w:val="28"/>
          <w:vertAlign w:val="subscript"/>
        </w:rPr>
        <w:t>3</w:t>
      </w:r>
      <w:r w:rsidRPr="001D1A9C">
        <w:rPr>
          <w:b/>
          <w:sz w:val="28"/>
          <w:szCs w:val="28"/>
        </w:rPr>
        <w:t xml:space="preserve">: </w:t>
      </w:r>
      <w:r w:rsidRPr="008062CF">
        <w:rPr>
          <w:b/>
          <w:sz w:val="28"/>
          <w:szCs w:val="28"/>
        </w:rPr>
        <w:t>Ex Situ</w:t>
      </w:r>
      <w:r>
        <w:rPr>
          <w:b/>
          <w:sz w:val="28"/>
          <w:szCs w:val="28"/>
        </w:rPr>
        <w:t xml:space="preserve"> </w:t>
      </w:r>
      <w:r w:rsidRPr="008062CF">
        <w:rPr>
          <w:b/>
          <w:sz w:val="28"/>
          <w:szCs w:val="28"/>
        </w:rPr>
        <w:t>XANES and EXAFS studies to investigate mechanism</w:t>
      </w:r>
    </w:p>
    <w:p w:rsidR="006B0968" w:rsidRDefault="006B0968" w:rsidP="006B0968">
      <w:pPr>
        <w:spacing w:line="360" w:lineRule="auto"/>
        <w:rPr>
          <w:vertAlign w:val="superscript"/>
        </w:rPr>
      </w:pPr>
      <w:r w:rsidRPr="00371B62">
        <w:t>Van Dien Dang</w:t>
      </w:r>
      <w:r w:rsidRPr="00371B62">
        <w:rPr>
          <w:vertAlign w:val="superscript"/>
        </w:rPr>
        <w:t>a</w:t>
      </w:r>
      <w:r w:rsidR="00936845">
        <w:rPr>
          <w:vertAlign w:val="superscript"/>
        </w:rPr>
        <w:t>,</w:t>
      </w:r>
      <w:r>
        <w:rPr>
          <w:vertAlign w:val="superscript"/>
        </w:rPr>
        <w:t>*</w:t>
      </w:r>
      <w:r w:rsidRPr="00FF3D94">
        <w:t>,</w:t>
      </w:r>
      <w:r w:rsidRPr="00B85FC0">
        <w:t xml:space="preserve"> </w:t>
      </w:r>
      <w:r>
        <w:t xml:space="preserve">Akhil </w:t>
      </w:r>
      <w:r w:rsidRPr="0082113F">
        <w:t>Pradiprao</w:t>
      </w:r>
      <w:r>
        <w:t xml:space="preserve"> Khedulkar</w:t>
      </w:r>
      <w:r>
        <w:rPr>
          <w:vertAlign w:val="superscript"/>
        </w:rPr>
        <w:t>b</w:t>
      </w:r>
      <w:r w:rsidRPr="00F05723">
        <w:t>,</w:t>
      </w:r>
      <w:r>
        <w:t xml:space="preserve"> Joemer Adorna Jr</w:t>
      </w:r>
      <w:r>
        <w:rPr>
          <w:vertAlign w:val="superscript"/>
        </w:rPr>
        <w:t>b</w:t>
      </w:r>
      <w:r>
        <w:t>, Van-Anh Thai</w:t>
      </w:r>
      <w:r w:rsidR="00936845">
        <w:rPr>
          <w:vertAlign w:val="superscript"/>
        </w:rPr>
        <w:t>c</w:t>
      </w:r>
      <w:r>
        <w:t xml:space="preserve">, </w:t>
      </w:r>
      <w:r w:rsidRPr="00FF3D94">
        <w:t>Bidhan Pandit</w:t>
      </w:r>
      <w:r w:rsidR="00936845">
        <w:rPr>
          <w:vertAlign w:val="superscript"/>
        </w:rPr>
        <w:t>d,</w:t>
      </w:r>
      <w:r>
        <w:rPr>
          <w:vertAlign w:val="superscript"/>
        </w:rPr>
        <w:t>*</w:t>
      </w:r>
      <w:r w:rsidRPr="009D306E">
        <w:t>,</w:t>
      </w:r>
      <w:r>
        <w:t xml:space="preserve"> Xuan-Hoan</w:t>
      </w:r>
      <w:r w:rsidRPr="008C20ED">
        <w:t xml:space="preserve"> </w:t>
      </w:r>
      <w:r>
        <w:t>Nguyen</w:t>
      </w:r>
      <w:r w:rsidRPr="004C3D21">
        <w:rPr>
          <w:vertAlign w:val="superscript"/>
        </w:rPr>
        <w:t>a</w:t>
      </w:r>
      <w:r>
        <w:t>, Tan-Hiep Dang</w:t>
      </w:r>
      <w:r w:rsidR="00936845">
        <w:rPr>
          <w:vertAlign w:val="superscript"/>
        </w:rPr>
        <w:t>e</w:t>
      </w:r>
      <w:r>
        <w:t xml:space="preserve">, </w:t>
      </w:r>
      <w:r w:rsidR="00936845" w:rsidRPr="00936845">
        <w:t>Lavish</w:t>
      </w:r>
      <w:r w:rsidR="00936845">
        <w:t xml:space="preserve"> </w:t>
      </w:r>
      <w:r w:rsidR="00936845" w:rsidRPr="00936845">
        <w:t>Kansal</w:t>
      </w:r>
      <w:r w:rsidR="00936845" w:rsidRPr="00936845">
        <w:rPr>
          <w:vertAlign w:val="superscript"/>
        </w:rPr>
        <w:t>f</w:t>
      </w:r>
      <w:r w:rsidR="00936845">
        <w:t xml:space="preserve">, </w:t>
      </w:r>
      <w:r w:rsidR="00936845" w:rsidRPr="00936845">
        <w:t>N.K.Jha</w:t>
      </w:r>
      <w:r w:rsidR="00936845" w:rsidRPr="00936845">
        <w:rPr>
          <w:vertAlign w:val="superscript"/>
        </w:rPr>
        <w:t>g</w:t>
      </w:r>
      <w:bookmarkStart w:id="0" w:name="_GoBack"/>
      <w:bookmarkEnd w:id="0"/>
      <w:r w:rsidR="00936845">
        <w:t>,</w:t>
      </w:r>
      <w:r w:rsidR="00936845" w:rsidRPr="00936845">
        <w:t xml:space="preserve"> </w:t>
      </w:r>
      <w:r w:rsidR="00936845" w:rsidRPr="00936845">
        <w:t>Mohd</w:t>
      </w:r>
      <w:r w:rsidR="00936845">
        <w:t xml:space="preserve"> </w:t>
      </w:r>
      <w:r w:rsidR="00936845" w:rsidRPr="00936845">
        <w:t>Ubaidulla</w:t>
      </w:r>
      <w:r w:rsidR="00936845" w:rsidRPr="00936845">
        <w:rPr>
          <w:vertAlign w:val="superscript"/>
        </w:rPr>
        <w:t>h</w:t>
      </w:r>
      <w:r w:rsidR="00936845">
        <w:t>.</w:t>
      </w:r>
    </w:p>
    <w:p w:rsidR="006B0968" w:rsidRPr="00E86AAC" w:rsidRDefault="006B0968" w:rsidP="006B0968">
      <w:pPr>
        <w:spacing w:line="360" w:lineRule="auto"/>
      </w:pPr>
    </w:p>
    <w:p w:rsidR="006B0968" w:rsidRPr="00252139" w:rsidRDefault="006B0968" w:rsidP="006B0968">
      <w:pPr>
        <w:ind w:left="130" w:hangingChars="59" w:hanging="130"/>
        <w:rPr>
          <w:sz w:val="22"/>
          <w:szCs w:val="22"/>
        </w:rPr>
      </w:pPr>
      <w:r w:rsidRPr="00252139">
        <w:rPr>
          <w:sz w:val="22"/>
          <w:szCs w:val="22"/>
          <w:vertAlign w:val="superscript"/>
        </w:rPr>
        <w:t>a</w:t>
      </w:r>
      <w:r>
        <w:rPr>
          <w:sz w:val="22"/>
          <w:szCs w:val="22"/>
          <w:vertAlign w:val="superscript"/>
        </w:rPr>
        <w:t xml:space="preserve"> </w:t>
      </w:r>
      <w:r w:rsidRPr="00252139">
        <w:rPr>
          <w:sz w:val="22"/>
          <w:szCs w:val="22"/>
        </w:rPr>
        <w:t>Faculty of Biology and Environment, Ho Chi Minh City University of Industry</w:t>
      </w:r>
      <w:r w:rsidR="00CB27EF">
        <w:rPr>
          <w:sz w:val="22"/>
          <w:szCs w:val="22"/>
        </w:rPr>
        <w:t xml:space="preserve"> and Trade</w:t>
      </w:r>
      <w:r w:rsidRPr="00252139">
        <w:rPr>
          <w:sz w:val="22"/>
          <w:szCs w:val="22"/>
        </w:rPr>
        <w:t>, 140 Le Trong Tan, Ho Chi Minh 700000, Vietnam</w:t>
      </w:r>
    </w:p>
    <w:p w:rsidR="006B0968" w:rsidRPr="00252139" w:rsidRDefault="006B0968" w:rsidP="006B0968">
      <w:pPr>
        <w:ind w:left="130" w:hangingChars="59" w:hanging="130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b</w:t>
      </w:r>
      <w:proofErr w:type="gramEnd"/>
      <w:r>
        <w:rPr>
          <w:sz w:val="22"/>
          <w:szCs w:val="22"/>
          <w:vertAlign w:val="superscript"/>
        </w:rPr>
        <w:t xml:space="preserve"> </w:t>
      </w:r>
      <w:r w:rsidRPr="00252139">
        <w:rPr>
          <w:sz w:val="22"/>
          <w:szCs w:val="22"/>
        </w:rPr>
        <w:t>Department of Biomedical Engineering and Environmental Sciences, National Tsing Hua University, Hsinchu 30013, Taiwan</w:t>
      </w:r>
    </w:p>
    <w:p w:rsidR="006B0968" w:rsidRPr="00252139" w:rsidRDefault="00305F39" w:rsidP="006B0968">
      <w:pPr>
        <w:ind w:left="130" w:hangingChars="59" w:hanging="130"/>
        <w:rPr>
          <w:sz w:val="22"/>
          <w:szCs w:val="22"/>
        </w:rPr>
      </w:pPr>
      <w:r>
        <w:rPr>
          <w:sz w:val="22"/>
          <w:szCs w:val="22"/>
          <w:vertAlign w:val="superscript"/>
        </w:rPr>
        <w:t>c</w:t>
      </w:r>
      <w:r w:rsidR="006B0968" w:rsidRPr="00DB57F0">
        <w:rPr>
          <w:sz w:val="22"/>
          <w:szCs w:val="22"/>
        </w:rPr>
        <w:t xml:space="preserve"> </w:t>
      </w:r>
      <w:r w:rsidR="006B0968" w:rsidRPr="00252139">
        <w:rPr>
          <w:sz w:val="22"/>
          <w:szCs w:val="18"/>
        </w:rPr>
        <w:t>Institute of Aquatic Science and Technology, National Kaohsiung University of Science and Technology, Kaohsiung City, 81157, Taiwan</w:t>
      </w:r>
    </w:p>
    <w:p w:rsidR="006B0968" w:rsidRPr="00252139" w:rsidRDefault="00305F39" w:rsidP="006B0968">
      <w:pPr>
        <w:ind w:left="130" w:hangingChars="59" w:hanging="130"/>
        <w:rPr>
          <w:sz w:val="22"/>
          <w:szCs w:val="22"/>
        </w:rPr>
      </w:pPr>
      <w:r>
        <w:rPr>
          <w:sz w:val="22"/>
          <w:szCs w:val="22"/>
          <w:vertAlign w:val="superscript"/>
        </w:rPr>
        <w:t>d</w:t>
      </w:r>
      <w:r w:rsidR="006B0968">
        <w:rPr>
          <w:sz w:val="22"/>
          <w:szCs w:val="22"/>
          <w:vertAlign w:val="superscript"/>
        </w:rPr>
        <w:t xml:space="preserve"> </w:t>
      </w:r>
      <w:r w:rsidR="006B0968" w:rsidRPr="00252139">
        <w:rPr>
          <w:sz w:val="22"/>
          <w:szCs w:val="22"/>
        </w:rPr>
        <w:t>Department of Materials Science and Engineering and Chemical Engineering, Universidad Carlos III de Madrid, Avenida de la Universidad 30, 28911 Leganés, Madrid, Spain</w:t>
      </w:r>
    </w:p>
    <w:p w:rsidR="00CB27EF" w:rsidRDefault="00305F39" w:rsidP="006B0968">
      <w:pPr>
        <w:ind w:left="130" w:hangingChars="59" w:hanging="130"/>
        <w:rPr>
          <w:sz w:val="22"/>
          <w:szCs w:val="22"/>
        </w:rPr>
      </w:pPr>
      <w:r>
        <w:rPr>
          <w:sz w:val="22"/>
          <w:szCs w:val="22"/>
          <w:vertAlign w:val="superscript"/>
        </w:rPr>
        <w:t>e</w:t>
      </w:r>
      <w:r w:rsidR="006B0968">
        <w:rPr>
          <w:sz w:val="22"/>
          <w:szCs w:val="22"/>
          <w:vertAlign w:val="superscript"/>
        </w:rPr>
        <w:t xml:space="preserve"> </w:t>
      </w:r>
      <w:r w:rsidR="00CB27EF">
        <w:rPr>
          <w:sz w:val="22"/>
          <w:szCs w:val="22"/>
        </w:rPr>
        <w:t xml:space="preserve">Department </w:t>
      </w:r>
      <w:r w:rsidR="00CB27EF" w:rsidRPr="004C3D21">
        <w:rPr>
          <w:sz w:val="22"/>
          <w:szCs w:val="22"/>
        </w:rPr>
        <w:t>of Chemical Engineering, Ho Chi Minh City University of Industry</w:t>
      </w:r>
      <w:r w:rsidR="00CB27EF">
        <w:rPr>
          <w:sz w:val="22"/>
          <w:szCs w:val="22"/>
        </w:rPr>
        <w:t xml:space="preserve"> and Trade</w:t>
      </w:r>
      <w:r w:rsidR="00CB27EF">
        <w:rPr>
          <w:sz w:val="22"/>
          <w:szCs w:val="22"/>
        </w:rPr>
        <w:t>,</w:t>
      </w:r>
      <w:r w:rsidR="00CB27EF" w:rsidRPr="003954F3">
        <w:rPr>
          <w:sz w:val="22"/>
          <w:szCs w:val="22"/>
        </w:rPr>
        <w:t xml:space="preserve"> </w:t>
      </w:r>
      <w:r w:rsidR="00CB27EF" w:rsidRPr="00252139">
        <w:rPr>
          <w:sz w:val="22"/>
          <w:szCs w:val="22"/>
        </w:rPr>
        <w:t>140 Le Trong Tan, Ho Chi Minh 700000, Vietnam</w:t>
      </w:r>
    </w:p>
    <w:p w:rsidR="006B0968" w:rsidRDefault="00CB27EF" w:rsidP="00CB27EF">
      <w:pPr>
        <w:ind w:left="130" w:hangingChars="59" w:hanging="130"/>
        <w:rPr>
          <w:sz w:val="22"/>
          <w:szCs w:val="22"/>
        </w:rPr>
      </w:pPr>
      <w:proofErr w:type="gramStart"/>
      <w:r w:rsidRPr="00CB27EF">
        <w:rPr>
          <w:sz w:val="22"/>
          <w:szCs w:val="22"/>
          <w:vertAlign w:val="superscript"/>
        </w:rPr>
        <w:t>f</w:t>
      </w:r>
      <w:proofErr w:type="gramEnd"/>
      <w:r>
        <w:rPr>
          <w:sz w:val="22"/>
          <w:szCs w:val="22"/>
        </w:rPr>
        <w:t xml:space="preserve"> </w:t>
      </w:r>
      <w:r w:rsidRPr="00CB27EF">
        <w:rPr>
          <w:sz w:val="22"/>
          <w:szCs w:val="22"/>
        </w:rPr>
        <w:t>School of Electronics and Electrical Engineering, Lovely Professional University, Phagwara, India</w:t>
      </w:r>
    </w:p>
    <w:p w:rsidR="00CB27EF" w:rsidRDefault="00CB27EF" w:rsidP="00CB27EF">
      <w:pPr>
        <w:ind w:left="130" w:hangingChars="59" w:hanging="130"/>
        <w:rPr>
          <w:sz w:val="22"/>
          <w:szCs w:val="22"/>
        </w:rPr>
      </w:pPr>
      <w:proofErr w:type="gramStart"/>
      <w:r w:rsidRPr="00CB27EF">
        <w:rPr>
          <w:sz w:val="22"/>
          <w:szCs w:val="22"/>
          <w:vertAlign w:val="superscript"/>
        </w:rPr>
        <w:t>g</w:t>
      </w:r>
      <w:proofErr w:type="gramEnd"/>
      <w:r>
        <w:rPr>
          <w:sz w:val="22"/>
          <w:szCs w:val="22"/>
        </w:rPr>
        <w:t xml:space="preserve"> </w:t>
      </w:r>
      <w:r w:rsidRPr="00CB27EF">
        <w:rPr>
          <w:sz w:val="22"/>
          <w:szCs w:val="22"/>
        </w:rPr>
        <w:t>School of Engineering and Technology, Sharda University, Greater Noida 201310, India</w:t>
      </w:r>
    </w:p>
    <w:p w:rsidR="00CB27EF" w:rsidRDefault="00CB27EF" w:rsidP="00CB27EF">
      <w:pPr>
        <w:ind w:left="130" w:hangingChars="59" w:hanging="130"/>
        <w:rPr>
          <w:sz w:val="22"/>
          <w:szCs w:val="22"/>
        </w:rPr>
      </w:pPr>
      <w:r w:rsidRPr="00CB27EF">
        <w:rPr>
          <w:sz w:val="22"/>
          <w:szCs w:val="22"/>
          <w:vertAlign w:val="superscript"/>
        </w:rPr>
        <w:t>h</w:t>
      </w:r>
      <w:r>
        <w:rPr>
          <w:sz w:val="22"/>
          <w:szCs w:val="22"/>
        </w:rPr>
        <w:t xml:space="preserve"> </w:t>
      </w:r>
      <w:r w:rsidRPr="00CB27EF">
        <w:rPr>
          <w:sz w:val="22"/>
          <w:szCs w:val="22"/>
        </w:rPr>
        <w:t>Department of Chemistry, College of Science, King Saud University, P.O. Box 2455, Riyadh 11451, Saudi Arabia</w:t>
      </w:r>
    </w:p>
    <w:p w:rsidR="006B0968" w:rsidRDefault="006B0968" w:rsidP="006B0968">
      <w:pPr>
        <w:ind w:left="142" w:hangingChars="59" w:hanging="142"/>
      </w:pPr>
    </w:p>
    <w:p w:rsidR="006B0968" w:rsidRPr="00371B62" w:rsidRDefault="006B0968" w:rsidP="006B0968">
      <w:pPr>
        <w:ind w:left="142" w:hangingChars="59" w:hanging="142"/>
      </w:pPr>
    </w:p>
    <w:p w:rsidR="006B0968" w:rsidRPr="00371B62" w:rsidRDefault="006B0968" w:rsidP="006B0968">
      <w:pPr>
        <w:spacing w:line="360" w:lineRule="auto"/>
        <w:ind w:left="283" w:hangingChars="118" w:hanging="283"/>
        <w:rPr>
          <w:b/>
        </w:rPr>
      </w:pPr>
      <w:proofErr w:type="gramStart"/>
      <w:r w:rsidRPr="007C39F5">
        <w:rPr>
          <w:b/>
          <w:vertAlign w:val="superscript"/>
        </w:rPr>
        <w:t>*</w:t>
      </w:r>
      <w:r>
        <w:rPr>
          <w:b/>
        </w:rPr>
        <w:t xml:space="preserve"> </w:t>
      </w:r>
      <w:r w:rsidRPr="00371B62">
        <w:t>Corresponding author</w:t>
      </w:r>
      <w:r>
        <w:t>s</w:t>
      </w:r>
      <w:r w:rsidRPr="00371B62">
        <w:rPr>
          <w:bdr w:val="none" w:sz="0" w:space="0" w:color="auto" w:frame="1"/>
        </w:rPr>
        <w:t>.</w:t>
      </w:r>
      <w:proofErr w:type="gramEnd"/>
    </w:p>
    <w:p w:rsidR="006B0968" w:rsidRPr="00371B62" w:rsidRDefault="006B0968" w:rsidP="006B0968">
      <w:pPr>
        <w:rPr>
          <w:b/>
        </w:rPr>
      </w:pPr>
      <w:r w:rsidRPr="00371B62">
        <w:t xml:space="preserve">E-mail </w:t>
      </w:r>
      <w:proofErr w:type="gramStart"/>
      <w:r w:rsidRPr="00371B62">
        <w:t>address</w:t>
      </w:r>
      <w:r>
        <w:t>es</w:t>
      </w:r>
      <w:r w:rsidRPr="00371B62">
        <w:t>:</w:t>
      </w:r>
      <w:proofErr w:type="gramEnd"/>
      <w:r w:rsidRPr="00371B62">
        <w:t xml:space="preserve"> </w:t>
      </w:r>
      <w:hyperlink r:id="rId7" w:history="1">
        <w:r w:rsidRPr="00CF773F">
          <w:rPr>
            <w:rStyle w:val="Hyperlink"/>
          </w:rPr>
          <w:t>diendv@hufi.edu.vn</w:t>
        </w:r>
      </w:hyperlink>
      <w:r>
        <w:t xml:space="preserve"> </w:t>
      </w:r>
      <w:r w:rsidRPr="00371B62">
        <w:t>(</w:t>
      </w:r>
      <w:r>
        <w:t xml:space="preserve">Van Dien Dang), </w:t>
      </w:r>
      <w:hyperlink r:id="rId8" w:history="1">
        <w:r w:rsidRPr="00B402A9">
          <w:rPr>
            <w:rStyle w:val="Hyperlink"/>
            <w:color w:val="0563C1"/>
            <w:szCs w:val="20"/>
          </w:rPr>
          <w:t>physics.bidhan@gmail.com</w:t>
        </w:r>
      </w:hyperlink>
      <w:r w:rsidRPr="006919C7">
        <w:rPr>
          <w:szCs w:val="20"/>
        </w:rPr>
        <w:t xml:space="preserve">  (</w:t>
      </w:r>
      <w:r w:rsidRPr="006919C7">
        <w:t>Bidhan Pandit)</w:t>
      </w:r>
    </w:p>
    <w:p w:rsidR="00812ED9" w:rsidRPr="00FC0B68" w:rsidRDefault="00812ED9" w:rsidP="009916A0">
      <w:pPr>
        <w:rPr>
          <w:b/>
        </w:rPr>
      </w:pPr>
    </w:p>
    <w:p w:rsidR="0089732F" w:rsidRPr="00FC0B68" w:rsidRDefault="0089732F">
      <w:r w:rsidRPr="00FC0B68">
        <w:br w:type="page"/>
      </w:r>
    </w:p>
    <w:p w:rsidR="00DE3726" w:rsidRPr="002E2793" w:rsidRDefault="00DE3726">
      <w:pPr>
        <w:rPr>
          <w:b/>
        </w:rPr>
      </w:pPr>
      <w:r w:rsidRPr="002E2793">
        <w:rPr>
          <w:b/>
        </w:rPr>
        <w:lastRenderedPageBreak/>
        <w:t>Supplementary materials caption:</w:t>
      </w:r>
    </w:p>
    <w:p w:rsidR="00DE3726" w:rsidRPr="00FC0B68" w:rsidRDefault="00DE3726" w:rsidP="00DE3726">
      <w:pPr>
        <w:jc w:val="center"/>
      </w:pPr>
      <w:r w:rsidRPr="00FC0B68">
        <w:t xml:space="preserve">Table S1. The </w:t>
      </w:r>
      <w:r w:rsidRPr="00FC0B68">
        <w:rPr>
          <w:rFonts w:hint="eastAsia"/>
        </w:rPr>
        <w:t xml:space="preserve">reaction rate of </w:t>
      </w:r>
      <w:r>
        <w:t>Mn</w:t>
      </w:r>
      <w:proofErr w:type="gramStart"/>
      <w:r>
        <w:t>,Cu</w:t>
      </w:r>
      <w:proofErr w:type="gramEnd"/>
      <w:r>
        <w:t>-</w:t>
      </w:r>
      <w:r w:rsidRPr="00FC0B68">
        <w:t>Fe</w:t>
      </w:r>
      <w:r>
        <w:rPr>
          <w:vertAlign w:val="subscript"/>
        </w:rPr>
        <w:t>2</w:t>
      </w:r>
      <w:r w:rsidRPr="00FC0B68">
        <w:t>O</w:t>
      </w:r>
      <w:r>
        <w:rPr>
          <w:vertAlign w:val="subscript"/>
        </w:rPr>
        <w:t>3</w:t>
      </w:r>
      <w:r w:rsidRPr="00FC0B68">
        <w:rPr>
          <w:rFonts w:hint="eastAsia"/>
        </w:rPr>
        <w:t xml:space="preserve"> under various O</w:t>
      </w:r>
      <w:r w:rsidRPr="00FC0B68">
        <w:rPr>
          <w:rFonts w:hint="eastAsia"/>
          <w:vertAlign w:val="subscript"/>
        </w:rPr>
        <w:t>2</w:t>
      </w:r>
      <w:r w:rsidRPr="00FC0B68">
        <w:rPr>
          <w:rFonts w:hint="eastAsia"/>
        </w:rPr>
        <w:t xml:space="preserve"> and C</w:t>
      </w:r>
      <w:r>
        <w:rPr>
          <w:vertAlign w:val="subscript"/>
        </w:rPr>
        <w:t>7</w:t>
      </w:r>
      <w:r w:rsidRPr="00FC0B68">
        <w:rPr>
          <w:rFonts w:hint="eastAsia"/>
        </w:rPr>
        <w:t>H</w:t>
      </w:r>
      <w:r>
        <w:rPr>
          <w:vertAlign w:val="subscript"/>
        </w:rPr>
        <w:t>8</w:t>
      </w:r>
      <w:r w:rsidRPr="00FC0B68">
        <w:rPr>
          <w:rFonts w:hint="eastAsia"/>
        </w:rPr>
        <w:t xml:space="preserve"> conce</w:t>
      </w:r>
      <w:r w:rsidRPr="00FC0B68">
        <w:t>n</w:t>
      </w:r>
      <w:r w:rsidRPr="00FC0B68">
        <w:rPr>
          <w:rFonts w:hint="eastAsia"/>
        </w:rPr>
        <w:t>tration</w:t>
      </w:r>
      <w:r w:rsidRPr="00FC0B68">
        <w:t xml:space="preserve"> at 222 </w:t>
      </w:r>
      <w:r w:rsidRPr="00FC0B68">
        <w:rPr>
          <w:vertAlign w:val="superscript"/>
        </w:rPr>
        <w:sym w:font="Symbol" w:char="F06F"/>
      </w:r>
      <w:r w:rsidRPr="00FC0B68">
        <w:t>C</w:t>
      </w:r>
      <w:r w:rsidRPr="00FC0B68">
        <w:rPr>
          <w:rFonts w:hint="eastAsia"/>
        </w:rPr>
        <w:t>.</w:t>
      </w:r>
    </w:p>
    <w:p w:rsidR="00DE3726" w:rsidRDefault="00DE3726">
      <w:r w:rsidRPr="00FC0B68">
        <w:t>Table S</w:t>
      </w:r>
      <w:r>
        <w:t>2</w:t>
      </w:r>
      <w:r w:rsidRPr="00FC0B68">
        <w:t xml:space="preserve">. Reaction rates of catalytic oxidation of </w:t>
      </w:r>
      <w:r>
        <w:t>tolu</w:t>
      </w:r>
      <w:r w:rsidRPr="00FC0B68">
        <w:t>ene with fixed O</w:t>
      </w:r>
      <w:r w:rsidRPr="00FC0B68">
        <w:rPr>
          <w:vertAlign w:val="subscript"/>
        </w:rPr>
        <w:t>2</w:t>
      </w:r>
      <w:r w:rsidRPr="00FC0B68">
        <w:t xml:space="preserve"> concentration (10%)</w:t>
      </w:r>
    </w:p>
    <w:p w:rsidR="00DE3726" w:rsidRDefault="00DE3726" w:rsidP="00DE3726">
      <w:r>
        <w:t xml:space="preserve">Table S3. </w:t>
      </w:r>
      <w:r w:rsidRPr="00371B62">
        <w:t>The mixed rate constants dependent on O</w:t>
      </w:r>
      <w:r w:rsidRPr="00371B62">
        <w:rPr>
          <w:vertAlign w:val="subscript"/>
        </w:rPr>
        <w:t>2</w:t>
      </w:r>
      <w:r w:rsidRPr="00371B62">
        <w:t xml:space="preserve"> concentration for the L-H model</w:t>
      </w:r>
    </w:p>
    <w:p w:rsidR="00DE3726" w:rsidRDefault="00DE3726" w:rsidP="00DE3726">
      <w:r w:rsidRPr="00DE3726">
        <w:t xml:space="preserve">Table S4. Reaction rates of catalytic oxidation of toluene with various </w:t>
      </w:r>
      <w:proofErr w:type="gramStart"/>
      <w:r w:rsidRPr="00DE3726">
        <w:t>inlet</w:t>
      </w:r>
      <w:proofErr w:type="gramEnd"/>
      <w:r w:rsidRPr="00DE3726">
        <w:t xml:space="preserve"> O</w:t>
      </w:r>
      <w:r w:rsidRPr="00DE3726">
        <w:rPr>
          <w:vertAlign w:val="subscript"/>
        </w:rPr>
        <w:t>2</w:t>
      </w:r>
      <w:r w:rsidRPr="00DE3726">
        <w:t xml:space="preserve"> concentrations at different temperatures</w:t>
      </w:r>
    </w:p>
    <w:p w:rsidR="00DE3726" w:rsidRDefault="00DE3726" w:rsidP="00DE3726">
      <w:r>
        <w:t xml:space="preserve">Table S5. </w:t>
      </w:r>
      <w:r w:rsidRPr="00371B62">
        <w:t xml:space="preserve">The mixed rate constants dependent on </w:t>
      </w:r>
      <w:r>
        <w:t xml:space="preserve">toluene </w:t>
      </w:r>
      <w:r w:rsidRPr="00371B62">
        <w:t>concentration for the L-H model</w:t>
      </w:r>
    </w:p>
    <w:p w:rsidR="00DE3726" w:rsidRDefault="00DE3726" w:rsidP="00DE3726">
      <w:r>
        <w:t xml:space="preserve">Table S6. </w:t>
      </w:r>
      <w:r w:rsidRPr="00371B62">
        <w:t xml:space="preserve">The mixed rate constants dependent on </w:t>
      </w:r>
      <w:r>
        <w:t xml:space="preserve">toluene </w:t>
      </w:r>
      <w:r w:rsidRPr="00371B62">
        <w:t>concentration for the L-H model</w:t>
      </w:r>
    </w:p>
    <w:p w:rsidR="00DE3726" w:rsidRDefault="00DE3726" w:rsidP="00DE3726">
      <w:pPr>
        <w:rPr>
          <w:rFonts w:eastAsia="標楷體"/>
          <w:kern w:val="2"/>
        </w:rPr>
      </w:pPr>
      <w:r w:rsidRPr="00371B62">
        <w:rPr>
          <w:rFonts w:eastAsia="標楷體"/>
          <w:kern w:val="2"/>
        </w:rPr>
        <w:t xml:space="preserve">Table </w:t>
      </w:r>
      <w:r>
        <w:rPr>
          <w:rFonts w:eastAsia="標楷體"/>
          <w:kern w:val="2"/>
        </w:rPr>
        <w:t>S7</w:t>
      </w:r>
      <w:r w:rsidRPr="00371B62">
        <w:rPr>
          <w:rFonts w:eastAsia="標楷體"/>
          <w:kern w:val="2"/>
        </w:rPr>
        <w:t>. The activation energy (E</w:t>
      </w:r>
      <w:r w:rsidRPr="00371B62">
        <w:rPr>
          <w:rFonts w:eastAsia="標楷體"/>
          <w:kern w:val="2"/>
          <w:vertAlign w:val="subscript"/>
        </w:rPr>
        <w:t>a</w:t>
      </w:r>
      <w:r w:rsidRPr="00371B62">
        <w:rPr>
          <w:rFonts w:eastAsia="標楷體"/>
          <w:kern w:val="2"/>
        </w:rPr>
        <w:t>) based on various kinetic models</w:t>
      </w:r>
    </w:p>
    <w:p w:rsidR="002E2793" w:rsidRDefault="002E2793" w:rsidP="00DE3726">
      <w:pPr>
        <w:rPr>
          <w:rFonts w:eastAsia="標楷體"/>
          <w:kern w:val="2"/>
        </w:rPr>
      </w:pPr>
    </w:p>
    <w:p w:rsidR="00DE3726" w:rsidRPr="00FC0B68" w:rsidRDefault="00DE3726" w:rsidP="00DE3726">
      <w:pPr>
        <w:jc w:val="center"/>
      </w:pPr>
      <w:proofErr w:type="gramStart"/>
      <w:r w:rsidRPr="00FC0B68">
        <w:t>Fig.</w:t>
      </w:r>
      <w:proofErr w:type="gramEnd"/>
      <w:r w:rsidRPr="00FC0B68">
        <w:t xml:space="preserve"> S1. (a) </w:t>
      </w:r>
      <w:proofErr w:type="gramStart"/>
      <w:r w:rsidRPr="00FC0B68">
        <w:t>conversion</w:t>
      </w:r>
      <w:proofErr w:type="gramEnd"/>
      <w:r w:rsidRPr="00FC0B68">
        <w:t xml:space="preserve"> rate as a function of C</w:t>
      </w:r>
      <w:r>
        <w:rPr>
          <w:vertAlign w:val="subscript"/>
        </w:rPr>
        <w:t>7</w:t>
      </w:r>
      <w:r w:rsidRPr="00FC0B68">
        <w:t>H</w:t>
      </w:r>
      <w:r>
        <w:rPr>
          <w:vertAlign w:val="subscript"/>
        </w:rPr>
        <w:t>8</w:t>
      </w:r>
      <w:r w:rsidRPr="00FC0B68">
        <w:t xml:space="preserve"> concentration at different temperatures (C</w:t>
      </w:r>
      <w:r w:rsidRPr="00FC0B68">
        <w:rPr>
          <w:vertAlign w:val="subscript"/>
        </w:rPr>
        <w:t>O2</w:t>
      </w:r>
      <w:r w:rsidRPr="00FC0B68">
        <w:t xml:space="preserve"> = 10%, Q = 200 mL min</w:t>
      </w:r>
      <w:r w:rsidRPr="00FC0B68">
        <w:rPr>
          <w:vertAlign w:val="superscript"/>
        </w:rPr>
        <w:sym w:font="Symbol" w:char="F02D"/>
      </w:r>
      <w:r w:rsidRPr="00FC0B68">
        <w:rPr>
          <w:vertAlign w:val="superscript"/>
        </w:rPr>
        <w:t>1</w:t>
      </w:r>
      <w:r w:rsidRPr="00FC0B68">
        <w:t>); (b) conversion rate as a function of O</w:t>
      </w:r>
      <w:r w:rsidRPr="00FC0B68">
        <w:rPr>
          <w:vertAlign w:val="subscript"/>
        </w:rPr>
        <w:t>2</w:t>
      </w:r>
      <w:r w:rsidRPr="00FC0B68">
        <w:t xml:space="preserve"> concentration at different temperatures, respectively (C</w:t>
      </w:r>
      <w:r w:rsidRPr="00FC0B68">
        <w:rPr>
          <w:rFonts w:hint="eastAsia"/>
          <w:vertAlign w:val="subscript"/>
        </w:rPr>
        <w:t>C</w:t>
      </w:r>
      <w:r>
        <w:rPr>
          <w:vertAlign w:val="subscript"/>
        </w:rPr>
        <w:t>7</w:t>
      </w:r>
      <w:r w:rsidRPr="00FC0B68">
        <w:rPr>
          <w:rFonts w:hint="eastAsia"/>
          <w:vertAlign w:val="subscript"/>
        </w:rPr>
        <w:t>H</w:t>
      </w:r>
      <w:r>
        <w:rPr>
          <w:vertAlign w:val="subscript"/>
        </w:rPr>
        <w:t>8</w:t>
      </w:r>
      <w:r w:rsidRPr="00FC0B68">
        <w:rPr>
          <w:vertAlign w:val="subscript"/>
        </w:rPr>
        <w:t xml:space="preserve"> </w:t>
      </w:r>
      <w:r w:rsidRPr="00FC0B68">
        <w:t xml:space="preserve">= </w:t>
      </w:r>
      <w:r w:rsidRPr="00FC0B68">
        <w:rPr>
          <w:rFonts w:hint="eastAsia"/>
        </w:rPr>
        <w:t>1</w:t>
      </w:r>
      <w:r w:rsidRPr="00FC0B68">
        <w:t>10</w:t>
      </w:r>
      <w:r w:rsidRPr="00FC0B68">
        <w:rPr>
          <w:rFonts w:hint="eastAsia"/>
        </w:rPr>
        <w:t xml:space="preserve"> ppmv</w:t>
      </w:r>
      <w:r w:rsidRPr="00FC0B68">
        <w:t>, Q</w:t>
      </w:r>
      <w:r w:rsidRPr="00FC0B68">
        <w:rPr>
          <w:rFonts w:hint="eastAsia"/>
        </w:rPr>
        <w:t xml:space="preserve"> =</w:t>
      </w:r>
      <w:r w:rsidRPr="00FC0B68">
        <w:t xml:space="preserve"> </w:t>
      </w:r>
      <w:r w:rsidRPr="00FC0B68">
        <w:rPr>
          <w:rFonts w:hint="eastAsia"/>
        </w:rPr>
        <w:t xml:space="preserve">200 </w:t>
      </w:r>
      <w:r w:rsidRPr="00FC0B68">
        <w:t>mL min</w:t>
      </w:r>
      <w:r w:rsidRPr="00FC0B68">
        <w:rPr>
          <w:vertAlign w:val="superscript"/>
        </w:rPr>
        <w:sym w:font="Symbol" w:char="F02D"/>
      </w:r>
      <w:r w:rsidRPr="00FC0B68">
        <w:rPr>
          <w:vertAlign w:val="superscript"/>
        </w:rPr>
        <w:t>1</w:t>
      </w:r>
      <w:r w:rsidRPr="00FC0B68">
        <w:t>).</w:t>
      </w:r>
    </w:p>
    <w:p w:rsidR="00DE3726" w:rsidRPr="00FC0B68" w:rsidRDefault="00DE3726" w:rsidP="00DE3726">
      <w:proofErr w:type="gramStart"/>
      <w:r w:rsidRPr="00FC0B68">
        <w:t>Fig.</w:t>
      </w:r>
      <w:proofErr w:type="gramEnd"/>
      <w:r w:rsidRPr="00FC0B68">
        <w:t xml:space="preserve"> S2. </w:t>
      </w:r>
      <w:r>
        <w:t>C</w:t>
      </w:r>
      <w:r w:rsidRPr="00FC0B68">
        <w:t>onversion rate fitting of C</w:t>
      </w:r>
      <w:r>
        <w:rPr>
          <w:vertAlign w:val="subscript"/>
        </w:rPr>
        <w:t>7</w:t>
      </w:r>
      <w:r w:rsidRPr="00FC0B68">
        <w:t>H</w:t>
      </w:r>
      <w:r>
        <w:rPr>
          <w:vertAlign w:val="subscript"/>
        </w:rPr>
        <w:t>8</w:t>
      </w:r>
      <w:r w:rsidRPr="00FC0B68">
        <w:t xml:space="preserve"> and CO</w:t>
      </w:r>
      <w:r w:rsidRPr="00FC0B68">
        <w:rPr>
          <w:vertAlign w:val="subscript"/>
        </w:rPr>
        <w:t>2</w:t>
      </w:r>
    </w:p>
    <w:p w:rsidR="00DE3726" w:rsidRPr="00371B62" w:rsidRDefault="00DE3726" w:rsidP="00DE3726"/>
    <w:p w:rsidR="00DE3726" w:rsidRDefault="00DE3726"/>
    <w:p w:rsidR="00DE3726" w:rsidRDefault="00DE3726">
      <w:r>
        <w:br w:type="page"/>
      </w:r>
    </w:p>
    <w:p w:rsidR="0089732F" w:rsidRPr="00FC0B68" w:rsidRDefault="008F7CEC" w:rsidP="0089732F">
      <w:pPr>
        <w:jc w:val="center"/>
      </w:pPr>
      <w:r w:rsidRPr="00FC0B68">
        <w:lastRenderedPageBreak/>
        <w:t xml:space="preserve">Table S1. </w:t>
      </w:r>
      <w:r w:rsidR="0089732F" w:rsidRPr="00FC0B68">
        <w:t xml:space="preserve">The </w:t>
      </w:r>
      <w:r w:rsidR="0089732F" w:rsidRPr="00FC0B68">
        <w:rPr>
          <w:rFonts w:hint="eastAsia"/>
        </w:rPr>
        <w:t xml:space="preserve">reaction rate of </w:t>
      </w:r>
      <w:r w:rsidR="00F430B0">
        <w:t>Mn</w:t>
      </w:r>
      <w:proofErr w:type="gramStart"/>
      <w:r w:rsidR="00F430B0">
        <w:t>,Cu</w:t>
      </w:r>
      <w:proofErr w:type="gramEnd"/>
      <w:r w:rsidR="00F430B0">
        <w:t>-</w:t>
      </w:r>
      <w:r w:rsidR="0089732F" w:rsidRPr="00FC0B68">
        <w:t>Fe</w:t>
      </w:r>
      <w:r w:rsidR="00F430B0">
        <w:rPr>
          <w:vertAlign w:val="subscript"/>
        </w:rPr>
        <w:t>2</w:t>
      </w:r>
      <w:r w:rsidRPr="00FC0B68">
        <w:t>O</w:t>
      </w:r>
      <w:r w:rsidR="00F430B0">
        <w:rPr>
          <w:vertAlign w:val="subscript"/>
        </w:rPr>
        <w:t>3</w:t>
      </w:r>
      <w:r w:rsidR="0089732F" w:rsidRPr="00FC0B68">
        <w:rPr>
          <w:rFonts w:hint="eastAsia"/>
        </w:rPr>
        <w:t xml:space="preserve"> under various O</w:t>
      </w:r>
      <w:r w:rsidR="0089732F" w:rsidRPr="00FC0B68">
        <w:rPr>
          <w:rFonts w:hint="eastAsia"/>
          <w:vertAlign w:val="subscript"/>
        </w:rPr>
        <w:t>2</w:t>
      </w:r>
      <w:r w:rsidR="0089732F" w:rsidRPr="00FC0B68">
        <w:rPr>
          <w:rFonts w:hint="eastAsia"/>
        </w:rPr>
        <w:t xml:space="preserve"> and C</w:t>
      </w:r>
      <w:r w:rsidR="00F430B0">
        <w:rPr>
          <w:vertAlign w:val="subscript"/>
        </w:rPr>
        <w:t>7</w:t>
      </w:r>
      <w:r w:rsidR="0089732F" w:rsidRPr="00FC0B68">
        <w:rPr>
          <w:rFonts w:hint="eastAsia"/>
        </w:rPr>
        <w:t>H</w:t>
      </w:r>
      <w:r w:rsidR="00F430B0">
        <w:rPr>
          <w:vertAlign w:val="subscript"/>
        </w:rPr>
        <w:t>8</w:t>
      </w:r>
      <w:r w:rsidR="0089732F" w:rsidRPr="00FC0B68">
        <w:rPr>
          <w:rFonts w:hint="eastAsia"/>
        </w:rPr>
        <w:t xml:space="preserve"> conce</w:t>
      </w:r>
      <w:r w:rsidRPr="00FC0B68">
        <w:t>n</w:t>
      </w:r>
      <w:r w:rsidR="0089732F" w:rsidRPr="00FC0B68">
        <w:rPr>
          <w:rFonts w:hint="eastAsia"/>
        </w:rPr>
        <w:t>tration</w:t>
      </w:r>
      <w:r w:rsidR="0089732F" w:rsidRPr="00FC0B68">
        <w:t xml:space="preserve"> at 222 </w:t>
      </w:r>
      <w:r w:rsidR="0089732F" w:rsidRPr="00FC0B68">
        <w:rPr>
          <w:vertAlign w:val="superscript"/>
        </w:rPr>
        <w:sym w:font="Symbol" w:char="F06F"/>
      </w:r>
      <w:r w:rsidR="0089732F" w:rsidRPr="00FC0B68">
        <w:t>C</w:t>
      </w:r>
      <w:r w:rsidR="0089732F" w:rsidRPr="00FC0B68">
        <w:rPr>
          <w:rFonts w:hint="eastAsia"/>
        </w:rPr>
        <w:t>.</w:t>
      </w: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3827"/>
      </w:tblGrid>
      <w:tr w:rsidR="00293A80" w:rsidRPr="00FC0B68" w:rsidTr="008F7CEC">
        <w:trPr>
          <w:trHeight w:val="68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F430B0">
            <w:pPr>
              <w:jc w:val="center"/>
            </w:pPr>
            <w:r w:rsidRPr="00FC0B68">
              <w:t>Concentration of C</w:t>
            </w:r>
            <w:r w:rsidR="00F430B0">
              <w:rPr>
                <w:vertAlign w:val="subscript"/>
              </w:rPr>
              <w:t>7</w:t>
            </w:r>
            <w:r w:rsidRPr="00FC0B68">
              <w:t>H</w:t>
            </w:r>
            <w:r w:rsidR="00F430B0">
              <w:rPr>
                <w:vertAlign w:val="subscript"/>
              </w:rPr>
              <w:t>8</w:t>
            </w:r>
            <w:r w:rsidRPr="00FC0B68">
              <w:t xml:space="preserve"> </w:t>
            </w:r>
            <w:r w:rsidR="00AB0EC0" w:rsidRPr="00FC0B68">
              <w:rPr>
                <w:rFonts w:hint="eastAsia"/>
              </w:rPr>
              <w:t>(mol</w:t>
            </w:r>
            <w:r w:rsidR="00AB0EC0" w:rsidRPr="00FC0B68">
              <w:t xml:space="preserve"> </w:t>
            </w:r>
            <w:r w:rsidRPr="00FC0B68">
              <w:rPr>
                <w:rFonts w:hint="eastAsia"/>
              </w:rPr>
              <w:t>cm</w:t>
            </w:r>
            <w:r w:rsidR="00AB0EC0" w:rsidRPr="00FC0B68">
              <w:rPr>
                <w:rFonts w:hint="eastAsia"/>
                <w:vertAlign w:val="superscript"/>
              </w:rPr>
              <w:sym w:font="Symbol" w:char="F02D"/>
            </w:r>
            <w:r w:rsidRPr="00FC0B68">
              <w:rPr>
                <w:rFonts w:hint="eastAsia"/>
                <w:vertAlign w:val="superscript"/>
              </w:rPr>
              <w:t>3</w:t>
            </w:r>
            <w:r w:rsidRPr="00FC0B68"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t>Concentration of O</w:t>
            </w:r>
            <w:r w:rsidRPr="00FC0B68">
              <w:rPr>
                <w:vertAlign w:val="subscript"/>
              </w:rPr>
              <w:t>2</w:t>
            </w:r>
            <w:r w:rsidRPr="00FC0B68">
              <w:t xml:space="preserve"> </w:t>
            </w:r>
            <w:r w:rsidRPr="00FC0B68">
              <w:rPr>
                <w:rFonts w:hint="eastAsia"/>
              </w:rPr>
              <w:t>(%)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AB0EC0">
            <w:pPr>
              <w:jc w:val="center"/>
            </w:pPr>
            <w:r w:rsidRPr="00FC0B68">
              <w:rPr>
                <w:rFonts w:hint="eastAsia"/>
              </w:rPr>
              <w:t>Reaction rate</w:t>
            </w:r>
            <w:r w:rsidRPr="00FC0B68">
              <w:t xml:space="preserve"> </w:t>
            </w:r>
            <w:r w:rsidR="00AB0EC0" w:rsidRPr="00FC0B68">
              <w:rPr>
                <w:rFonts w:hint="eastAsia"/>
              </w:rPr>
              <w:t>(mol</w:t>
            </w:r>
            <w:r w:rsidR="00AB0EC0" w:rsidRPr="00FC0B68">
              <w:t xml:space="preserve"> </w:t>
            </w:r>
            <w:r w:rsidRPr="00FC0B68">
              <w:rPr>
                <w:rFonts w:hint="eastAsia"/>
              </w:rPr>
              <w:t>cm</w:t>
            </w:r>
            <w:r w:rsidR="00AB0EC0" w:rsidRPr="00FC0B68">
              <w:rPr>
                <w:rFonts w:hint="eastAsia"/>
                <w:vertAlign w:val="superscript"/>
              </w:rPr>
              <w:sym w:font="Symbol" w:char="F02D"/>
            </w:r>
            <w:r w:rsidRPr="00FC0B68">
              <w:rPr>
                <w:rFonts w:hint="eastAsia"/>
                <w:vertAlign w:val="superscript"/>
              </w:rPr>
              <w:t xml:space="preserve">3 </w:t>
            </w:r>
            <w:r w:rsidRPr="00FC0B68">
              <w:rPr>
                <w:rFonts w:hint="eastAsia"/>
              </w:rPr>
              <w:t>s</w:t>
            </w:r>
            <w:r w:rsidR="00AB0EC0" w:rsidRPr="00FC0B68">
              <w:rPr>
                <w:rFonts w:hint="eastAsia"/>
                <w:vertAlign w:val="superscript"/>
              </w:rPr>
              <w:sym w:font="Symbol" w:char="F02D"/>
            </w:r>
            <w:r w:rsidR="00AB0EC0" w:rsidRPr="00FC0B68">
              <w:rPr>
                <w:vertAlign w:val="superscript"/>
              </w:rPr>
              <w:t>1</w:t>
            </w:r>
            <w:r w:rsidRPr="00FC0B68">
              <w:rPr>
                <w:rFonts w:hint="eastAsia"/>
              </w:rPr>
              <w:t>)</w:t>
            </w:r>
          </w:p>
        </w:tc>
      </w:tr>
      <w:tr w:rsidR="00293A80" w:rsidRPr="00FC0B68" w:rsidTr="008F7CEC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  <w:rPr>
                <w:vertAlign w:val="subscript"/>
              </w:rPr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 xml:space="preserve"> 2.5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  <w:rPr>
                <w:lang w:val="sv-SE"/>
              </w:rPr>
            </w:pPr>
            <w:r w:rsidRPr="00FC0B68">
              <w:rPr>
                <w:rFonts w:hint="eastAsia"/>
              </w:rPr>
              <w:t>6.18 x10</w:t>
            </w:r>
            <w:r w:rsidRPr="00FC0B68">
              <w:rPr>
                <w:rFonts w:hint="eastAsia"/>
                <w:vertAlign w:val="superscript"/>
              </w:rPr>
              <w:t>-11</w:t>
            </w:r>
          </w:p>
        </w:tc>
      </w:tr>
      <w:tr w:rsidR="00293A80" w:rsidRPr="00FC0B68" w:rsidTr="008F7CEC">
        <w:trPr>
          <w:trHeight w:val="352"/>
        </w:trPr>
        <w:tc>
          <w:tcPr>
            <w:tcW w:w="2660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 xml:space="preserve"> 3.5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t>3.20</w:t>
            </w:r>
            <w:r w:rsidRPr="00FC0B68">
              <w:rPr>
                <w:rFonts w:hint="eastAsia"/>
              </w:rPr>
              <w:t xml:space="preserve"> x10</w:t>
            </w:r>
            <w:r w:rsidRPr="00FC0B68">
              <w:rPr>
                <w:rFonts w:hint="eastAsia"/>
                <w:vertAlign w:val="superscript"/>
              </w:rPr>
              <w:t>-10</w:t>
            </w:r>
          </w:p>
        </w:tc>
      </w:tr>
      <w:tr w:rsidR="00293A80" w:rsidRPr="00FC0B68" w:rsidTr="008F7CEC">
        <w:trPr>
          <w:trHeight w:val="368"/>
        </w:trPr>
        <w:tc>
          <w:tcPr>
            <w:tcW w:w="2660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 xml:space="preserve"> 5.0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2.15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8F7CEC">
        <w:trPr>
          <w:trHeight w:val="361"/>
        </w:trPr>
        <w:tc>
          <w:tcPr>
            <w:tcW w:w="2660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</w:pPr>
            <w:r w:rsidRPr="00FC0B68">
              <w:rPr>
                <w:rFonts w:hint="eastAsia"/>
              </w:rPr>
              <w:t>10.0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7CEC" w:rsidRPr="00FC0B68" w:rsidRDefault="008F7CEC" w:rsidP="0089732F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2.63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AB0EC0">
        <w:trPr>
          <w:trHeight w:val="378"/>
        </w:trPr>
        <w:tc>
          <w:tcPr>
            <w:tcW w:w="2660" w:type="dxa"/>
            <w:shd w:val="clear" w:color="auto" w:fill="auto"/>
            <w:vAlign w:val="bottom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t>20</w:t>
            </w:r>
            <w:r w:rsidRPr="00FC0B68">
              <w:rPr>
                <w:rFonts w:hint="eastAsia"/>
              </w:rPr>
              <w:t>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2.81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AB0EC0">
        <w:trPr>
          <w:trHeight w:val="37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rPr>
                <w:rFonts w:hint="eastAsia"/>
              </w:rPr>
              <w:t>4.29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rPr>
                <w:rFonts w:hint="eastAsia"/>
              </w:rPr>
              <w:t>30.0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t>3.10</w:t>
            </w:r>
            <w:r w:rsidRPr="00FC0B68">
              <w:rPr>
                <w:rFonts w:hint="eastAsia"/>
              </w:rPr>
              <w:t xml:space="preserve">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AB0EC0">
        <w:trPr>
          <w:trHeight w:val="37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1.94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rPr>
                <w:rFonts w:hint="eastAsia"/>
              </w:rPr>
              <w:t>20.0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1.44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AB0EC0">
        <w:trPr>
          <w:trHeight w:val="378"/>
        </w:trPr>
        <w:tc>
          <w:tcPr>
            <w:tcW w:w="2660" w:type="dxa"/>
            <w:shd w:val="clear" w:color="auto" w:fill="auto"/>
            <w:vAlign w:val="bottom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6.59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t>20</w:t>
            </w:r>
            <w:r w:rsidRPr="00FC0B68">
              <w:rPr>
                <w:rFonts w:hint="eastAsia"/>
              </w:rPr>
              <w:t>.0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3.70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  <w:tr w:rsidR="00293A80" w:rsidRPr="00FC0B68" w:rsidTr="00AB0EC0">
        <w:trPr>
          <w:trHeight w:val="36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9.10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</w:pPr>
            <w:r w:rsidRPr="00FC0B68">
              <w:rPr>
                <w:rFonts w:hint="eastAsia"/>
              </w:rPr>
              <w:t>20.0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EC0" w:rsidRPr="00FC0B68" w:rsidRDefault="00AB0EC0" w:rsidP="008F3389">
            <w:pPr>
              <w:jc w:val="center"/>
              <w:rPr>
                <w:rFonts w:ascii="新細明體" w:hAnsi="新細明體" w:cs="新細明體"/>
              </w:rPr>
            </w:pPr>
            <w:r w:rsidRPr="00FC0B68">
              <w:rPr>
                <w:rFonts w:hint="eastAsia"/>
              </w:rPr>
              <w:t>3.40 x10</w:t>
            </w:r>
            <w:r w:rsidRPr="00FC0B68">
              <w:rPr>
                <w:rFonts w:hint="eastAsia"/>
                <w:vertAlign w:val="superscript"/>
              </w:rPr>
              <w:t>-9</w:t>
            </w:r>
          </w:p>
        </w:tc>
      </w:tr>
    </w:tbl>
    <w:p w:rsidR="0093565E" w:rsidRPr="00FC0B68" w:rsidRDefault="0093565E"/>
    <w:p w:rsidR="006D34AD" w:rsidRPr="00FC0B68" w:rsidRDefault="006D34AD" w:rsidP="006D34AD">
      <w:r w:rsidRPr="00FC0B68">
        <w:t>Table S</w:t>
      </w:r>
      <w:r w:rsidR="006408CF">
        <w:t>2</w:t>
      </w:r>
      <w:r w:rsidRPr="00FC0B68">
        <w:t xml:space="preserve">. Reaction rates of catalytic oxidation of </w:t>
      </w:r>
      <w:r w:rsidR="00F430B0">
        <w:t>tolu</w:t>
      </w:r>
      <w:r w:rsidRPr="00FC0B68">
        <w:t>ene with fixed O</w:t>
      </w:r>
      <w:r w:rsidRPr="00FC0B68">
        <w:rPr>
          <w:vertAlign w:val="subscript"/>
        </w:rPr>
        <w:t>2</w:t>
      </w:r>
      <w:r w:rsidRPr="00FC0B68">
        <w:t xml:space="preserve"> concentration (10%)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418"/>
        <w:gridCol w:w="1559"/>
        <w:gridCol w:w="1418"/>
      </w:tblGrid>
      <w:tr w:rsidR="006D34AD" w:rsidRPr="00FC0B68" w:rsidTr="008F3389">
        <w:trPr>
          <w:trHeight w:val="424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Initial C</w:t>
            </w:r>
            <w:r w:rsidR="00F430B0">
              <w:rPr>
                <w:vertAlign w:val="subscript"/>
              </w:rPr>
              <w:t>7</w:t>
            </w:r>
            <w:r w:rsidRPr="00FC0B68">
              <w:t>H</w:t>
            </w:r>
            <w:r w:rsidR="00F430B0">
              <w:rPr>
                <w:vertAlign w:val="subscript"/>
              </w:rPr>
              <w:t>8</w:t>
            </w:r>
            <w:r w:rsidRPr="00FC0B68">
              <w:t xml:space="preserve"> concentration</w:t>
            </w:r>
          </w:p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(10</w:t>
            </w:r>
            <w:r w:rsidRPr="00FC0B68">
              <w:rPr>
                <w:vertAlign w:val="superscript"/>
              </w:rPr>
              <w:sym w:font="Symbol" w:char="F02D"/>
            </w:r>
            <w:r w:rsidRPr="00FC0B68">
              <w:rPr>
                <w:vertAlign w:val="superscript"/>
              </w:rPr>
              <w:t>9</w:t>
            </w:r>
            <w:r w:rsidRPr="00FC0B68">
              <w:t xml:space="preserve"> mol cm</w:t>
            </w:r>
            <w:r w:rsidRPr="00FC0B68">
              <w:rPr>
                <w:vertAlign w:val="superscript"/>
              </w:rPr>
              <w:sym w:font="Symbol" w:char="F02D"/>
            </w:r>
            <w:r w:rsidRPr="00FC0B68">
              <w:rPr>
                <w:vertAlign w:val="superscript"/>
              </w:rPr>
              <w:t>3</w:t>
            </w:r>
            <w:r w:rsidRPr="00FC0B68">
              <w:t>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Reaction rate (10</w:t>
            </w:r>
            <w:r w:rsidRPr="00FC0B68">
              <w:rPr>
                <w:vertAlign w:val="superscript"/>
              </w:rPr>
              <w:sym w:font="Symbol" w:char="F02D"/>
            </w:r>
            <w:r w:rsidRPr="00FC0B68">
              <w:rPr>
                <w:vertAlign w:val="superscript"/>
              </w:rPr>
              <w:t>9</w:t>
            </w:r>
            <w:r w:rsidRPr="00FC0B68">
              <w:t xml:space="preserve"> mol cm</w:t>
            </w:r>
            <w:r w:rsidRPr="00FC0B68">
              <w:rPr>
                <w:vertAlign w:val="superscript"/>
              </w:rPr>
              <w:sym w:font="Symbol" w:char="F02D"/>
            </w:r>
            <w:r w:rsidRPr="00FC0B68">
              <w:rPr>
                <w:vertAlign w:val="superscript"/>
              </w:rPr>
              <w:t>3</w:t>
            </w:r>
            <w:r w:rsidRPr="00FC0B68">
              <w:t xml:space="preserve"> s</w:t>
            </w:r>
            <w:r w:rsidRPr="00FC0B68">
              <w:rPr>
                <w:vertAlign w:val="superscript"/>
              </w:rPr>
              <w:sym w:font="Symbol" w:char="F02D"/>
            </w:r>
            <w:r w:rsidRPr="00FC0B68">
              <w:rPr>
                <w:vertAlign w:val="superscript"/>
              </w:rPr>
              <w:t>1</w:t>
            </w:r>
            <w:r w:rsidRPr="00FC0B68">
              <w:t xml:space="preserve">) </w:t>
            </w:r>
          </w:p>
        </w:tc>
      </w:tr>
      <w:tr w:rsidR="006D34AD" w:rsidRPr="00FC0B68" w:rsidTr="008F3389">
        <w:trPr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 xml:space="preserve">222 </w:t>
            </w:r>
            <w:r w:rsidRPr="00FC0B68">
              <w:rPr>
                <w:vertAlign w:val="superscript"/>
              </w:rPr>
              <w:sym w:font="Symbol" w:char="F06F"/>
            </w:r>
            <w:r w:rsidRPr="00FC0B68">
              <w:t>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 xml:space="preserve">235 </w:t>
            </w:r>
            <w:r w:rsidRPr="00FC0B68">
              <w:rPr>
                <w:vertAlign w:val="superscript"/>
              </w:rPr>
              <w:sym w:font="Symbol" w:char="F06F"/>
            </w:r>
            <w:r w:rsidRPr="00FC0B68"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 xml:space="preserve">248 </w:t>
            </w:r>
            <w:r w:rsidRPr="00FC0B68">
              <w:rPr>
                <w:vertAlign w:val="superscript"/>
              </w:rPr>
              <w:sym w:font="Symbol" w:char="F06F"/>
            </w:r>
            <w:r w:rsidRPr="00FC0B68">
              <w:t>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 xml:space="preserve">258 </w:t>
            </w:r>
            <w:r w:rsidRPr="00FC0B68">
              <w:rPr>
                <w:vertAlign w:val="superscript"/>
              </w:rPr>
              <w:sym w:font="Symbol" w:char="F06F"/>
            </w:r>
            <w:r w:rsidRPr="00FC0B68">
              <w:t>C</w:t>
            </w:r>
          </w:p>
        </w:tc>
      </w:tr>
      <w:tr w:rsidR="006D34AD" w:rsidRPr="00FC0B68" w:rsidTr="008F3389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7.296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1.079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1.706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2.497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3.223</w:t>
            </w:r>
          </w:p>
        </w:tc>
      </w:tr>
      <w:tr w:rsidR="006D34AD" w:rsidRPr="00FC0B68" w:rsidTr="008F3389">
        <w:trPr>
          <w:jc w:val="center"/>
        </w:trPr>
        <w:tc>
          <w:tcPr>
            <w:tcW w:w="2835" w:type="dxa"/>
            <w:vAlign w:val="bottom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9.073</w:t>
            </w:r>
          </w:p>
        </w:tc>
        <w:tc>
          <w:tcPr>
            <w:tcW w:w="1701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1.119</w:t>
            </w:r>
          </w:p>
        </w:tc>
        <w:tc>
          <w:tcPr>
            <w:tcW w:w="1418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1.899</w:t>
            </w:r>
          </w:p>
        </w:tc>
        <w:tc>
          <w:tcPr>
            <w:tcW w:w="1559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2.984</w:t>
            </w:r>
          </w:p>
        </w:tc>
        <w:tc>
          <w:tcPr>
            <w:tcW w:w="1418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3.996</w:t>
            </w:r>
          </w:p>
        </w:tc>
      </w:tr>
      <w:tr w:rsidR="006D34AD" w:rsidRPr="00FC0B68" w:rsidTr="008F3389">
        <w:trPr>
          <w:jc w:val="center"/>
        </w:trPr>
        <w:tc>
          <w:tcPr>
            <w:tcW w:w="2835" w:type="dxa"/>
            <w:vAlign w:val="bottom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11.294</w:t>
            </w:r>
          </w:p>
        </w:tc>
        <w:tc>
          <w:tcPr>
            <w:tcW w:w="1701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1.281</w:t>
            </w:r>
          </w:p>
        </w:tc>
        <w:tc>
          <w:tcPr>
            <w:tcW w:w="1418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2.076</w:t>
            </w:r>
          </w:p>
        </w:tc>
        <w:tc>
          <w:tcPr>
            <w:tcW w:w="1559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3.262</w:t>
            </w:r>
          </w:p>
        </w:tc>
        <w:tc>
          <w:tcPr>
            <w:tcW w:w="1418" w:type="dxa"/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4.438</w:t>
            </w:r>
          </w:p>
        </w:tc>
      </w:tr>
      <w:tr w:rsidR="006D34AD" w:rsidRPr="00FC0B68" w:rsidTr="008F3389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15.337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1.621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2.708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4.000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34AD" w:rsidRPr="00FC0B68" w:rsidRDefault="006D34AD" w:rsidP="006D34AD">
            <w:pPr>
              <w:spacing w:line="480" w:lineRule="auto"/>
              <w:jc w:val="center"/>
            </w:pPr>
            <w:r w:rsidRPr="00FC0B68">
              <w:t>5.340</w:t>
            </w:r>
          </w:p>
        </w:tc>
      </w:tr>
    </w:tbl>
    <w:p w:rsidR="006D34AD" w:rsidRPr="00FC0B68" w:rsidRDefault="006D34AD" w:rsidP="006D34AD">
      <w:pPr>
        <w:ind w:firstLine="567"/>
        <w:jc w:val="center"/>
      </w:pPr>
    </w:p>
    <w:p w:rsidR="00535AAC" w:rsidRDefault="00535AAC" w:rsidP="0017547F"/>
    <w:p w:rsidR="007C7965" w:rsidRDefault="007C7965">
      <w:r>
        <w:br w:type="page"/>
      </w:r>
    </w:p>
    <w:p w:rsidR="00535AAC" w:rsidRPr="00371B62" w:rsidRDefault="00535AAC" w:rsidP="00535AAC">
      <w:pPr>
        <w:ind w:firstLine="567"/>
        <w:jc w:val="center"/>
      </w:pPr>
      <w:r>
        <w:lastRenderedPageBreak/>
        <w:t xml:space="preserve">Table S3. </w:t>
      </w:r>
      <w:r w:rsidRPr="00371B62">
        <w:t>The mixed rate constants dependent on O</w:t>
      </w:r>
      <w:r w:rsidRPr="00371B62">
        <w:rPr>
          <w:vertAlign w:val="subscript"/>
        </w:rPr>
        <w:t>2</w:t>
      </w:r>
      <w:r w:rsidRPr="00371B62">
        <w:t xml:space="preserve"> concentration for the L-H model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56"/>
        <w:gridCol w:w="1122"/>
        <w:gridCol w:w="1134"/>
        <w:gridCol w:w="1134"/>
        <w:gridCol w:w="1134"/>
      </w:tblGrid>
      <w:tr w:rsidR="00535AAC" w:rsidRPr="00371B62" w:rsidTr="008F3389">
        <w:trPr>
          <w:trHeight w:val="293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Rate constants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Heating temperature (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C)</w:t>
            </w:r>
          </w:p>
        </w:tc>
      </w:tr>
      <w:tr w:rsidR="00535AAC" w:rsidRPr="00371B62" w:rsidTr="008F3389">
        <w:trPr>
          <w:trHeight w:val="292"/>
          <w:jc w:val="center"/>
        </w:trPr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258</w:t>
            </w:r>
          </w:p>
        </w:tc>
      </w:tr>
      <w:tr w:rsidR="00535AAC" w:rsidRPr="00371B62" w:rsidTr="00535AAC">
        <w:trPr>
          <w:jc w:val="center"/>
        </w:trPr>
        <w:tc>
          <w:tcPr>
            <w:tcW w:w="1276" w:type="dxa"/>
            <w:vMerge w:val="restart"/>
            <w:vAlign w:val="center"/>
          </w:tcPr>
          <w:p w:rsidR="00535AAC" w:rsidRPr="00371B62" w:rsidRDefault="00535AAC" w:rsidP="008F3389">
            <w:pPr>
              <w:spacing w:line="360" w:lineRule="auto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 xml:space="preserve">Fixed </w:t>
            </w:r>
            <w:r w:rsidRPr="00371B62">
              <w:t>C</w:t>
            </w:r>
            <w:r w:rsidRPr="00371B62">
              <w:rPr>
                <w:vertAlign w:val="subscript"/>
              </w:rPr>
              <w:t>O2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bottom"/>
          </w:tcPr>
          <w:p w:rsidR="00535AAC" w:rsidRPr="00371B62" w:rsidRDefault="00535AAC" w:rsidP="008F3389">
            <w:pPr>
              <w:spacing w:line="360" w:lineRule="auto"/>
              <w:jc w:val="center"/>
              <w:rPr>
                <w:rFonts w:ascii="Calibri" w:eastAsia="Times New Roman" w:hAnsi="Calibri" w:cs="Calibri"/>
              </w:rPr>
            </w:pPr>
            <w:r w:rsidRPr="00371B62">
              <w:rPr>
                <w:rFonts w:eastAsia="Times New Roman"/>
              </w:rPr>
              <w:t>K'</w:t>
            </w:r>
            <w:r w:rsidRPr="00371B62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0.191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0.298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0.477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0.590</w:t>
            </w:r>
          </w:p>
        </w:tc>
      </w:tr>
      <w:tr w:rsidR="00535AAC" w:rsidRPr="00371B62" w:rsidTr="00535AAC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:rsidR="00535AAC" w:rsidRPr="00371B62" w:rsidRDefault="00535AAC" w:rsidP="008F3389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535AAC" w:rsidRPr="00371B62" w:rsidRDefault="00535AAC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K''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0.038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0.042</w:t>
            </w:r>
          </w:p>
        </w:tc>
      </w:tr>
    </w:tbl>
    <w:p w:rsidR="00535AAC" w:rsidRDefault="00535AAC" w:rsidP="0017547F"/>
    <w:p w:rsidR="00E85EED" w:rsidRPr="00371B62" w:rsidRDefault="00E85EED" w:rsidP="007C7965">
      <w:r w:rsidRPr="00371B62">
        <w:t xml:space="preserve">Table </w:t>
      </w:r>
      <w:r>
        <w:t>S4</w:t>
      </w:r>
      <w:r w:rsidRPr="00371B62">
        <w:t xml:space="preserve">. Reaction rates of catalytic oxidation of </w:t>
      </w:r>
      <w:r>
        <w:t>toluene</w:t>
      </w:r>
      <w:r w:rsidRPr="00371B62">
        <w:t xml:space="preserve"> with various </w:t>
      </w:r>
      <w:proofErr w:type="gramStart"/>
      <w:r w:rsidRPr="00371B62">
        <w:t>inlet</w:t>
      </w:r>
      <w:proofErr w:type="gramEnd"/>
      <w:r w:rsidRPr="00371B62">
        <w:t xml:space="preserve"> O</w:t>
      </w:r>
      <w:r w:rsidRPr="00371B62">
        <w:rPr>
          <w:vertAlign w:val="subscript"/>
        </w:rPr>
        <w:t>2</w:t>
      </w:r>
      <w:r w:rsidRPr="00371B62">
        <w:t xml:space="preserve"> concentrations at different temperatures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992"/>
        <w:gridCol w:w="992"/>
      </w:tblGrid>
      <w:tr w:rsidR="00E85EED" w:rsidRPr="00371B62" w:rsidTr="008F3389">
        <w:trPr>
          <w:trHeight w:val="42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Inlet C</w:t>
            </w:r>
            <w:r w:rsidRPr="00371B62">
              <w:rPr>
                <w:vertAlign w:val="subscript"/>
              </w:rPr>
              <w:t>O2</w:t>
            </w:r>
            <w:r w:rsidRPr="00371B62">
              <w:t xml:space="preserve"> (10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6</w:t>
            </w:r>
            <w:r w:rsidRPr="00371B62">
              <w:t xml:space="preserve"> mol cm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3</w:t>
            </w:r>
            <w:r w:rsidRPr="00371B62"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Reaction rate (10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9</w:t>
            </w:r>
            <w:r w:rsidRPr="00371B62">
              <w:t xml:space="preserve"> mol cm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3</w:t>
            </w:r>
            <w:r w:rsidRPr="00371B62">
              <w:t xml:space="preserve"> s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1</w:t>
            </w:r>
            <w:r w:rsidRPr="00371B62">
              <w:t xml:space="preserve">) </w:t>
            </w:r>
          </w:p>
        </w:tc>
      </w:tr>
      <w:tr w:rsidR="00E85EED" w:rsidRPr="00371B62" w:rsidTr="008F3389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 xml:space="preserve">222 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 xml:space="preserve">235 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 xml:space="preserve">248 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 xml:space="preserve">258 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</w:t>
            </w:r>
          </w:p>
        </w:tc>
      </w:tr>
      <w:tr w:rsidR="00E85EED" w:rsidRPr="00371B62" w:rsidTr="008F3389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8.93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4.85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3.76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2.67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1.67</w:t>
            </w:r>
          </w:p>
        </w:tc>
      </w:tr>
      <w:tr w:rsidR="00E85EED" w:rsidRPr="00371B62" w:rsidTr="008F3389">
        <w:trPr>
          <w:jc w:val="center"/>
        </w:trPr>
        <w:tc>
          <w:tcPr>
            <w:tcW w:w="1701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6.70</w:t>
            </w:r>
          </w:p>
        </w:tc>
        <w:tc>
          <w:tcPr>
            <w:tcW w:w="1134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4.50</w:t>
            </w:r>
          </w:p>
        </w:tc>
        <w:tc>
          <w:tcPr>
            <w:tcW w:w="993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3.46</w:t>
            </w:r>
          </w:p>
        </w:tc>
        <w:tc>
          <w:tcPr>
            <w:tcW w:w="992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2.43</w:t>
            </w:r>
          </w:p>
        </w:tc>
        <w:tc>
          <w:tcPr>
            <w:tcW w:w="992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1.57</w:t>
            </w:r>
          </w:p>
        </w:tc>
      </w:tr>
      <w:tr w:rsidR="00E85EED" w:rsidRPr="00371B62" w:rsidTr="008F3389">
        <w:trPr>
          <w:jc w:val="center"/>
        </w:trPr>
        <w:tc>
          <w:tcPr>
            <w:tcW w:w="1701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4.47</w:t>
            </w:r>
          </w:p>
        </w:tc>
        <w:tc>
          <w:tcPr>
            <w:tcW w:w="1134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4.34</w:t>
            </w:r>
          </w:p>
        </w:tc>
        <w:tc>
          <w:tcPr>
            <w:tcW w:w="993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3.26</w:t>
            </w:r>
          </w:p>
        </w:tc>
        <w:tc>
          <w:tcPr>
            <w:tcW w:w="992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2.25</w:t>
            </w:r>
          </w:p>
        </w:tc>
        <w:tc>
          <w:tcPr>
            <w:tcW w:w="992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1.39</w:t>
            </w:r>
          </w:p>
        </w:tc>
      </w:tr>
      <w:tr w:rsidR="00E85EED" w:rsidRPr="00371B62" w:rsidTr="008F338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2.23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4.39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3.20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2.01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  <w:rPr>
                <w:rFonts w:eastAsia="Times New Roman"/>
              </w:rPr>
            </w:pPr>
            <w:r w:rsidRPr="00371B62">
              <w:rPr>
                <w:rFonts w:eastAsia="Times New Roman"/>
              </w:rPr>
              <w:t>1.08</w:t>
            </w:r>
          </w:p>
        </w:tc>
      </w:tr>
    </w:tbl>
    <w:p w:rsidR="00E85EED" w:rsidRPr="00371B62" w:rsidRDefault="00E85EED" w:rsidP="00E85EED">
      <w:pPr>
        <w:ind w:firstLine="567"/>
        <w:jc w:val="center"/>
      </w:pPr>
      <w:r w:rsidRPr="00371B62">
        <w:t>(C</w:t>
      </w:r>
      <w:r w:rsidRPr="00371B62">
        <w:rPr>
          <w:vertAlign w:val="subscript"/>
        </w:rPr>
        <w:t>C</w:t>
      </w:r>
      <w:r>
        <w:rPr>
          <w:vertAlign w:val="subscript"/>
        </w:rPr>
        <w:t>7</w:t>
      </w:r>
      <w:r w:rsidRPr="00371B62">
        <w:rPr>
          <w:vertAlign w:val="subscript"/>
        </w:rPr>
        <w:t>H</w:t>
      </w:r>
      <w:r>
        <w:rPr>
          <w:vertAlign w:val="subscript"/>
        </w:rPr>
        <w:t>8</w:t>
      </w:r>
      <w:r w:rsidRPr="00371B62">
        <w:t xml:space="preserve"> = 165 ppmv, Q = 200 mL min</w:t>
      </w:r>
      <w:r w:rsidRPr="00371B62">
        <w:rPr>
          <w:vertAlign w:val="superscript"/>
        </w:rPr>
        <w:sym w:font="Symbol" w:char="F02D"/>
      </w:r>
      <w:r w:rsidRPr="00371B62">
        <w:rPr>
          <w:vertAlign w:val="superscript"/>
        </w:rPr>
        <w:t>1</w:t>
      </w:r>
      <w:r w:rsidRPr="00371B62">
        <w:t>)</w:t>
      </w:r>
    </w:p>
    <w:p w:rsidR="008F3389" w:rsidRDefault="008F3389">
      <w:r>
        <w:br w:type="page"/>
      </w:r>
    </w:p>
    <w:p w:rsidR="00660776" w:rsidRDefault="00660776" w:rsidP="0017547F"/>
    <w:p w:rsidR="00535AAC" w:rsidRPr="00371B62" w:rsidRDefault="00535AAC" w:rsidP="00535AAC">
      <w:pPr>
        <w:ind w:firstLine="567"/>
        <w:jc w:val="center"/>
      </w:pPr>
      <w:r>
        <w:t>Table S</w:t>
      </w:r>
      <w:r w:rsidR="00E85EED">
        <w:t>5</w:t>
      </w:r>
      <w:r>
        <w:t xml:space="preserve">. </w:t>
      </w:r>
      <w:r w:rsidRPr="00371B62">
        <w:t xml:space="preserve">The mixed rate constants dependent on </w:t>
      </w:r>
      <w:r>
        <w:t xml:space="preserve">toluene </w:t>
      </w:r>
      <w:r w:rsidRPr="00371B62">
        <w:t>concentration for the L-H model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56"/>
        <w:gridCol w:w="1122"/>
        <w:gridCol w:w="1134"/>
        <w:gridCol w:w="1134"/>
        <w:gridCol w:w="1134"/>
      </w:tblGrid>
      <w:tr w:rsidR="00535AAC" w:rsidRPr="00371B62" w:rsidTr="008F3389">
        <w:trPr>
          <w:trHeight w:val="293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Rate constants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Heating temperature (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C)</w:t>
            </w:r>
          </w:p>
        </w:tc>
      </w:tr>
      <w:tr w:rsidR="00535AAC" w:rsidRPr="00371B62" w:rsidTr="008F3389">
        <w:trPr>
          <w:trHeight w:val="292"/>
          <w:jc w:val="center"/>
        </w:trPr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258</w:t>
            </w:r>
          </w:p>
        </w:tc>
      </w:tr>
      <w:tr w:rsidR="00535AAC" w:rsidRPr="00371B62" w:rsidTr="007C796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</w:pPr>
            <w:r w:rsidRPr="00371B62">
              <w:t xml:space="preserve">Fixed </w:t>
            </w:r>
            <w:r w:rsidRPr="00371B62">
              <w:rPr>
                <w:rFonts w:eastAsia="Times New Roman"/>
              </w:rPr>
              <w:t>C</w:t>
            </w:r>
            <w:r>
              <w:rPr>
                <w:rFonts w:eastAsia="Times New Roman"/>
                <w:vertAlign w:val="subscript"/>
              </w:rPr>
              <w:t>e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K</w:t>
            </w:r>
            <w:r w:rsidRPr="00371B62">
              <w:rPr>
                <w:vertAlign w:val="subscript"/>
              </w:rPr>
              <w:t>1</w:t>
            </w:r>
            <w:r w:rsidRPr="00371B62">
              <w:rPr>
                <w:rFonts w:ascii="Symbol" w:hAnsi="Symbol"/>
              </w:rPr>
              <w:t></w:t>
            </w:r>
            <w:r w:rsidRPr="00371B62">
              <w:rPr>
                <w:rFonts w:ascii="Symbol" w:hAnsi="Symbol"/>
              </w:rPr>
              <w:t></w:t>
            </w:r>
            <w:r w:rsidRPr="00371B62">
              <w:t>(</w:t>
            </w:r>
            <w:r w:rsidRPr="00371B62">
              <w:rPr>
                <w:rFonts w:ascii="Symbol" w:hAnsi="Symbol"/>
              </w:rPr>
              <w:t></w:t>
            </w:r>
            <w:r w:rsidRPr="00371B62">
              <w:rPr>
                <w:rFonts w:ascii="Symbol" w:hAnsi="Symbol"/>
              </w:rPr>
              <w:t></w:t>
            </w:r>
            <w:r w:rsidRPr="00371B62">
              <w:rPr>
                <w:rFonts w:ascii="Symbol" w:hAnsi="Symbol"/>
              </w:rPr>
              <w:t></w:t>
            </w:r>
            <w:r w:rsidRPr="00371B62">
              <w:rPr>
                <w:rFonts w:ascii="Symbol" w:hAnsi="Symbol"/>
                <w:vertAlign w:val="superscript"/>
              </w:rPr>
              <w:t></w:t>
            </w:r>
            <w:r w:rsidRPr="00371B62">
              <w:rPr>
                <w:rFonts w:ascii="Symbol" w:hAnsi="Symbol"/>
                <w:vertAlign w:val="superscript"/>
              </w:rPr>
              <w:t></w:t>
            </w:r>
            <w:r w:rsidRPr="00371B62">
              <w:rPr>
                <w:rFonts w:ascii="Symbol" w:hAnsi="Symbol"/>
              </w:rPr>
              <w:t></w:t>
            </w:r>
          </w:p>
        </w:tc>
        <w:tc>
          <w:tcPr>
            <w:tcW w:w="1122" w:type="dxa"/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3.395</w:t>
            </w:r>
          </w:p>
        </w:tc>
        <w:tc>
          <w:tcPr>
            <w:tcW w:w="1134" w:type="dxa"/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2.370</w:t>
            </w:r>
          </w:p>
        </w:tc>
        <w:tc>
          <w:tcPr>
            <w:tcW w:w="1134" w:type="dxa"/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1.399</w:t>
            </w:r>
          </w:p>
        </w:tc>
        <w:tc>
          <w:tcPr>
            <w:tcW w:w="1134" w:type="dxa"/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0.718</w:t>
            </w:r>
          </w:p>
        </w:tc>
      </w:tr>
      <w:tr w:rsidR="00535AAC" w:rsidRPr="00371B62" w:rsidTr="007C7965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K</w:t>
            </w:r>
            <w:r w:rsidRPr="00371B62">
              <w:rPr>
                <w:vertAlign w:val="subscript"/>
              </w:rPr>
              <w:t>1</w:t>
            </w:r>
            <w:r w:rsidRPr="00371B62">
              <w:rPr>
                <w:rFonts w:ascii="Symbol" w:hAnsi="Symbol"/>
              </w:rPr>
              <w:t>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0.176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0.136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5AAC" w:rsidRPr="00371B62" w:rsidRDefault="00535AAC" w:rsidP="008F3389">
            <w:pPr>
              <w:spacing w:line="360" w:lineRule="auto"/>
              <w:jc w:val="center"/>
            </w:pPr>
            <w:r w:rsidRPr="00371B62">
              <w:t>0.110</w:t>
            </w:r>
          </w:p>
        </w:tc>
      </w:tr>
    </w:tbl>
    <w:p w:rsidR="007C7965" w:rsidRDefault="007C7965" w:rsidP="007C7965">
      <w:pPr>
        <w:tabs>
          <w:tab w:val="left" w:pos="3232"/>
        </w:tabs>
      </w:pPr>
      <w:r>
        <w:tab/>
      </w:r>
    </w:p>
    <w:p w:rsidR="00E85EED" w:rsidRPr="00371B62" w:rsidRDefault="00E85EED" w:rsidP="00E85EED">
      <w:pPr>
        <w:ind w:firstLine="567"/>
        <w:jc w:val="center"/>
      </w:pPr>
      <w:r>
        <w:t xml:space="preserve">Table S6. </w:t>
      </w:r>
      <w:r w:rsidRPr="00371B62">
        <w:t xml:space="preserve">The mixed rate constants dependent on </w:t>
      </w:r>
      <w:r>
        <w:t xml:space="preserve">toluene </w:t>
      </w:r>
      <w:r w:rsidRPr="00371B62">
        <w:t>concentration for the L-H model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56"/>
        <w:gridCol w:w="1122"/>
        <w:gridCol w:w="1134"/>
        <w:gridCol w:w="1134"/>
        <w:gridCol w:w="1134"/>
      </w:tblGrid>
      <w:tr w:rsidR="00E85EED" w:rsidRPr="00371B62" w:rsidTr="008F3389">
        <w:trPr>
          <w:trHeight w:val="293"/>
          <w:jc w:val="center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Rate constants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Heating temperature (</w:t>
            </w:r>
            <w:r w:rsidRPr="00371B62">
              <w:rPr>
                <w:vertAlign w:val="superscript"/>
              </w:rPr>
              <w:sym w:font="Symbol" w:char="F06F"/>
            </w:r>
            <w:r w:rsidRPr="00371B62">
              <w:t>C)</w:t>
            </w:r>
          </w:p>
        </w:tc>
      </w:tr>
      <w:tr w:rsidR="00E85EED" w:rsidRPr="00371B62" w:rsidTr="008F3389">
        <w:trPr>
          <w:trHeight w:val="292"/>
          <w:jc w:val="center"/>
        </w:trPr>
        <w:tc>
          <w:tcPr>
            <w:tcW w:w="2632" w:type="dxa"/>
            <w:gridSpan w:val="2"/>
            <w:vMerge/>
            <w:tcBorders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248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258</w:t>
            </w:r>
          </w:p>
        </w:tc>
      </w:tr>
      <w:tr w:rsidR="00E85EED" w:rsidRPr="00371B62" w:rsidTr="008F3389">
        <w:trPr>
          <w:jc w:val="center"/>
        </w:trPr>
        <w:tc>
          <w:tcPr>
            <w:tcW w:w="1276" w:type="dxa"/>
            <w:vMerge w:val="restart"/>
            <w:vAlign w:val="center"/>
          </w:tcPr>
          <w:p w:rsidR="00E85EED" w:rsidRPr="00371B62" w:rsidRDefault="00E85EED" w:rsidP="008F3389">
            <w:pPr>
              <w:spacing w:line="360" w:lineRule="auto"/>
            </w:pPr>
            <w:r w:rsidRPr="00371B62">
              <w:t xml:space="preserve">Fixed </w:t>
            </w:r>
            <w:r w:rsidRPr="00371B62">
              <w:rPr>
                <w:rFonts w:eastAsia="Times New Roman"/>
              </w:rPr>
              <w:t>C</w:t>
            </w:r>
            <w:r>
              <w:rPr>
                <w:rFonts w:eastAsia="Times New Roman"/>
                <w:vertAlign w:val="subscript"/>
              </w:rPr>
              <w:t>e</w:t>
            </w:r>
          </w:p>
        </w:tc>
        <w:tc>
          <w:tcPr>
            <w:tcW w:w="1356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K</w:t>
            </w:r>
            <w:r w:rsidRPr="00371B62">
              <w:rPr>
                <w:vertAlign w:val="subscript"/>
              </w:rPr>
              <w:t>2</w:t>
            </w:r>
            <w:r w:rsidRPr="00371B62">
              <w:rPr>
                <w:rFonts w:ascii="Symbol" w:hAnsi="Symbol"/>
              </w:rPr>
              <w:t></w:t>
            </w:r>
            <w:r w:rsidRPr="00371B62">
              <w:rPr>
                <w:rFonts w:ascii="Symbol" w:hAnsi="Symbol"/>
              </w:rPr>
              <w:t></w:t>
            </w:r>
            <w:r w:rsidRPr="00371B62">
              <w:t>(</w:t>
            </w:r>
            <w:r w:rsidRPr="00371B62">
              <w:rPr>
                <w:rFonts w:ascii="Symbol" w:hAnsi="Symbol"/>
              </w:rPr>
              <w:t></w:t>
            </w:r>
            <w:r w:rsidRPr="00371B62">
              <w:rPr>
                <w:rFonts w:ascii="Symbol" w:hAnsi="Symbol"/>
              </w:rPr>
              <w:t></w:t>
            </w:r>
            <w:r w:rsidRPr="00371B62">
              <w:rPr>
                <w:rFonts w:ascii="Symbol" w:hAnsi="Symbol"/>
              </w:rPr>
              <w:t></w:t>
            </w:r>
            <w:r w:rsidRPr="00371B62">
              <w:rPr>
                <w:rFonts w:ascii="Symbol" w:hAnsi="Symbol"/>
                <w:vertAlign w:val="superscript"/>
              </w:rPr>
              <w:t></w:t>
            </w:r>
            <w:r w:rsidRPr="00371B62">
              <w:rPr>
                <w:rFonts w:ascii="Symbol" w:hAnsi="Symbol"/>
                <w:vertAlign w:val="superscript"/>
              </w:rPr>
              <w:t></w:t>
            </w:r>
            <w:r w:rsidRPr="00371B62">
              <w:rPr>
                <w:rFonts w:ascii="Symbol" w:hAnsi="Symbol"/>
              </w:rPr>
              <w:t></w:t>
            </w:r>
          </w:p>
        </w:tc>
        <w:tc>
          <w:tcPr>
            <w:tcW w:w="1122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6.472</w:t>
            </w:r>
          </w:p>
        </w:tc>
        <w:tc>
          <w:tcPr>
            <w:tcW w:w="1134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4.216</w:t>
            </w:r>
          </w:p>
        </w:tc>
        <w:tc>
          <w:tcPr>
            <w:tcW w:w="1134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2.192</w:t>
            </w:r>
          </w:p>
        </w:tc>
        <w:tc>
          <w:tcPr>
            <w:tcW w:w="1134" w:type="dxa"/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0.973</w:t>
            </w:r>
          </w:p>
        </w:tc>
      </w:tr>
      <w:tr w:rsidR="00E85EED" w:rsidRPr="00371B62" w:rsidTr="008F3389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5EED" w:rsidRPr="00371B62" w:rsidRDefault="00E85EED" w:rsidP="008F3389">
            <w:pPr>
              <w:spacing w:line="360" w:lineRule="auto"/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K</w:t>
            </w:r>
            <w:r w:rsidRPr="00371B62">
              <w:rPr>
                <w:vertAlign w:val="subscript"/>
              </w:rPr>
              <w:t>2</w:t>
            </w:r>
            <w:r w:rsidRPr="00371B62">
              <w:rPr>
                <w:rFonts w:ascii="Symbol" w:hAnsi="Symbol"/>
              </w:rPr>
              <w:t>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0.347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0.290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0.197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5EED" w:rsidRPr="00371B62" w:rsidRDefault="00E85EED" w:rsidP="008F3389">
            <w:pPr>
              <w:spacing w:line="360" w:lineRule="auto"/>
              <w:jc w:val="center"/>
            </w:pPr>
            <w:r w:rsidRPr="00371B62">
              <w:t>0.105</w:t>
            </w:r>
          </w:p>
        </w:tc>
      </w:tr>
    </w:tbl>
    <w:p w:rsidR="008F3389" w:rsidRDefault="008F3389" w:rsidP="0017547F"/>
    <w:p w:rsidR="008F3389" w:rsidRPr="00371B62" w:rsidRDefault="008F3389" w:rsidP="008F3389">
      <w:pPr>
        <w:widowControl w:val="0"/>
        <w:jc w:val="center"/>
        <w:rPr>
          <w:rFonts w:eastAsia="標楷體"/>
          <w:kern w:val="2"/>
        </w:rPr>
      </w:pPr>
      <w:bookmarkStart w:id="1" w:name="_Toc223273719"/>
      <w:r w:rsidRPr="00371B62">
        <w:rPr>
          <w:rFonts w:eastAsia="標楷體"/>
          <w:kern w:val="2"/>
        </w:rPr>
        <w:t xml:space="preserve">Table </w:t>
      </w:r>
      <w:r>
        <w:rPr>
          <w:rFonts w:eastAsia="標楷體"/>
          <w:kern w:val="2"/>
        </w:rPr>
        <w:t>S7</w:t>
      </w:r>
      <w:r w:rsidRPr="00371B62">
        <w:rPr>
          <w:rFonts w:eastAsia="標楷體"/>
          <w:kern w:val="2"/>
        </w:rPr>
        <w:t>. The activation energy (E</w:t>
      </w:r>
      <w:r w:rsidRPr="00371B62">
        <w:rPr>
          <w:rFonts w:eastAsia="標楷體"/>
          <w:kern w:val="2"/>
          <w:vertAlign w:val="subscript"/>
        </w:rPr>
        <w:t>a</w:t>
      </w:r>
      <w:r w:rsidRPr="00371B62">
        <w:rPr>
          <w:rFonts w:eastAsia="標楷體"/>
          <w:kern w:val="2"/>
        </w:rPr>
        <w:t>) based on various kinetic model</w:t>
      </w:r>
      <w:bookmarkEnd w:id="1"/>
      <w:r w:rsidRPr="00371B62">
        <w:rPr>
          <w:rFonts w:eastAsia="標楷體"/>
          <w:kern w:val="2"/>
        </w:rPr>
        <w:t>s</w:t>
      </w:r>
    </w:p>
    <w:tbl>
      <w:tblPr>
        <w:tblW w:w="7337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559"/>
        <w:gridCol w:w="2410"/>
        <w:gridCol w:w="850"/>
      </w:tblGrid>
      <w:tr w:rsidR="008F3389" w:rsidRPr="00371B62" w:rsidTr="008F3389">
        <w:trPr>
          <w:trHeight w:val="92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Kinetic model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E</w:t>
            </w:r>
            <w:r w:rsidRPr="00371B62">
              <w:rPr>
                <w:rFonts w:eastAsia="標楷體"/>
                <w:kern w:val="2"/>
                <w:vertAlign w:val="subscript"/>
              </w:rPr>
              <w:t>a</w:t>
            </w:r>
            <w:r w:rsidRPr="00371B62">
              <w:rPr>
                <w:rFonts w:eastAsia="標楷體"/>
                <w:kern w:val="2"/>
              </w:rPr>
              <w:t xml:space="preserve"> (kJ mol</w:t>
            </w:r>
            <w:r w:rsidRPr="00371B62">
              <w:rPr>
                <w:rFonts w:eastAsia="標楷體"/>
                <w:kern w:val="2"/>
                <w:vertAlign w:val="superscript"/>
              </w:rPr>
              <w:sym w:font="Symbol" w:char="F02D"/>
            </w:r>
            <w:r w:rsidRPr="00371B62">
              <w:rPr>
                <w:rFonts w:eastAsia="標楷體"/>
                <w:kern w:val="2"/>
                <w:vertAlign w:val="superscript"/>
              </w:rPr>
              <w:t>1</w:t>
            </w:r>
            <w:r w:rsidRPr="00371B62">
              <w:rPr>
                <w:rFonts w:eastAsia="標楷體"/>
                <w:kern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 w:hint="eastAsia"/>
                <w:kern w:val="2"/>
              </w:rPr>
              <w:t>F</w:t>
            </w:r>
            <w:r w:rsidRPr="00371B62">
              <w:rPr>
                <w:rFonts w:eastAsia="標楷體"/>
                <w:kern w:val="2"/>
              </w:rPr>
              <w:t>requency factor (s</w:t>
            </w:r>
            <w:r w:rsidRPr="00371B62">
              <w:rPr>
                <w:vertAlign w:val="superscript"/>
              </w:rPr>
              <w:sym w:font="Symbol" w:char="F02D"/>
            </w:r>
            <w:r w:rsidRPr="00371B62">
              <w:rPr>
                <w:vertAlign w:val="superscript"/>
              </w:rPr>
              <w:t>1</w:t>
            </w:r>
            <w:r w:rsidRPr="00371B62">
              <w:rPr>
                <w:rFonts w:eastAsia="標楷體"/>
                <w:kern w:val="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R</w:t>
            </w:r>
            <w:r w:rsidRPr="00371B62">
              <w:rPr>
                <w:rFonts w:eastAsia="標楷體"/>
                <w:kern w:val="2"/>
                <w:vertAlign w:val="superscript"/>
              </w:rPr>
              <w:t>2</w:t>
            </w:r>
          </w:p>
        </w:tc>
      </w:tr>
      <w:tr w:rsidR="008F3389" w:rsidRPr="00371B62" w:rsidTr="008F3389">
        <w:trPr>
          <w:trHeight w:val="393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P-L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164.8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11.1 </w:t>
            </w:r>
            <w:r w:rsidRPr="00371B62">
              <w:rPr>
                <w:rFonts w:eastAsia="標楷體" w:hint="eastAsia"/>
                <w:kern w:val="2"/>
              </w:rPr>
              <w:sym w:font="Symbol" w:char="F0B4"/>
            </w:r>
            <w:r w:rsidRPr="00371B62">
              <w:rPr>
                <w:rFonts w:eastAsia="標楷體"/>
                <w:kern w:val="2"/>
              </w:rPr>
              <w:t xml:space="preserve"> </w:t>
            </w:r>
            <w:r w:rsidRPr="00371B62">
              <w:rPr>
                <w:rFonts w:eastAsia="標楷體" w:hint="eastAsia"/>
                <w:kern w:val="2"/>
              </w:rPr>
              <w:t>10</w:t>
            </w:r>
            <w:r w:rsidRPr="00371B62">
              <w:rPr>
                <w:rFonts w:eastAsia="標楷體"/>
                <w:kern w:val="2"/>
                <w:vertAlign w:val="superscript"/>
              </w:rPr>
              <w:t>12</w:t>
            </w:r>
          </w:p>
        </w:tc>
        <w:tc>
          <w:tcPr>
            <w:tcW w:w="850" w:type="dxa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0.943</w:t>
            </w:r>
          </w:p>
        </w:tc>
      </w:tr>
      <w:tr w:rsidR="008F3389" w:rsidRPr="00371B62" w:rsidTr="008F3389">
        <w:trPr>
          <w:trHeight w:val="393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MVK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 w:hint="eastAsia"/>
                <w:kern w:val="2"/>
              </w:rPr>
              <w:t>59.1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0.41 </w:t>
            </w:r>
            <w:r w:rsidRPr="00371B62">
              <w:rPr>
                <w:rFonts w:eastAsia="標楷體" w:hint="eastAsia"/>
                <w:kern w:val="2"/>
              </w:rPr>
              <w:sym w:font="Symbol" w:char="F0B4"/>
            </w:r>
            <w:r w:rsidRPr="00371B62">
              <w:rPr>
                <w:rFonts w:eastAsia="標楷體"/>
                <w:kern w:val="2"/>
              </w:rPr>
              <w:t xml:space="preserve"> </w:t>
            </w:r>
            <w:r w:rsidRPr="00371B62">
              <w:rPr>
                <w:rFonts w:eastAsia="標楷體" w:hint="eastAsia"/>
                <w:kern w:val="2"/>
              </w:rPr>
              <w:t>10</w:t>
            </w:r>
            <w:r w:rsidRPr="00371B62">
              <w:rPr>
                <w:rFonts w:eastAsia="標楷體" w:hint="eastAsia"/>
                <w:kern w:val="2"/>
                <w:vertAlign w:val="superscript"/>
              </w:rPr>
              <w:t>6</w:t>
            </w:r>
            <w:r w:rsidRPr="00371B62">
              <w:rPr>
                <w:rFonts w:eastAsia="標楷體" w:hint="eastAsia"/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0.993</w:t>
            </w:r>
          </w:p>
        </w:tc>
      </w:tr>
      <w:tr w:rsidR="008F3389" w:rsidRPr="00371B62" w:rsidTr="008F3389">
        <w:trPr>
          <w:trHeight w:val="369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L-H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O</w:t>
            </w:r>
            <w:r w:rsidRPr="00371B62">
              <w:rPr>
                <w:rFonts w:eastAsia="標楷體"/>
                <w:kern w:val="2"/>
                <w:vertAlign w:val="subscript"/>
              </w:rPr>
              <w:t>2</w:t>
            </w:r>
            <w:r w:rsidRPr="00371B62">
              <w:rPr>
                <w:rFonts w:eastAsia="標楷體"/>
                <w:kern w:val="2"/>
              </w:rPr>
              <w:t xml:space="preserve"> adsorption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 w:hint="eastAsia"/>
                <w:kern w:val="2"/>
              </w:rPr>
              <w:t>61.6</w:t>
            </w:r>
            <w:r w:rsidRPr="00371B62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45.5 </w:t>
            </w:r>
            <w:r w:rsidRPr="00371B62">
              <w:rPr>
                <w:rFonts w:eastAsia="標楷體" w:hint="eastAsia"/>
                <w:kern w:val="2"/>
              </w:rPr>
              <w:sym w:font="Symbol" w:char="F0B4"/>
            </w:r>
            <w:r w:rsidRPr="00371B62">
              <w:rPr>
                <w:rFonts w:eastAsia="標楷體"/>
                <w:kern w:val="2"/>
              </w:rPr>
              <w:t xml:space="preserve"> </w:t>
            </w:r>
            <w:r w:rsidRPr="00371B62">
              <w:rPr>
                <w:rFonts w:eastAsia="標楷體" w:hint="eastAsia"/>
                <w:kern w:val="2"/>
              </w:rPr>
              <w:t>10</w:t>
            </w:r>
            <w:r w:rsidRPr="00371B62">
              <w:rPr>
                <w:rFonts w:eastAsia="標楷體"/>
                <w:kern w:val="2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0.980</w:t>
            </w:r>
          </w:p>
        </w:tc>
      </w:tr>
      <w:tr w:rsidR="008F3389" w:rsidRPr="00371B62" w:rsidTr="008F3389">
        <w:trPr>
          <w:trHeight w:val="344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O adsorption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 w:hint="eastAsia"/>
                <w:kern w:val="2"/>
              </w:rPr>
              <w:t>28.3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 xml:space="preserve">50.5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3389" w:rsidRPr="00371B62" w:rsidRDefault="008F3389" w:rsidP="008F3389">
            <w:pPr>
              <w:widowControl w:val="0"/>
              <w:rPr>
                <w:rFonts w:eastAsia="標楷體"/>
                <w:kern w:val="2"/>
              </w:rPr>
            </w:pPr>
            <w:r w:rsidRPr="00371B62">
              <w:rPr>
                <w:rFonts w:eastAsia="標楷體"/>
                <w:kern w:val="2"/>
              </w:rPr>
              <w:t>0.857</w:t>
            </w:r>
          </w:p>
        </w:tc>
      </w:tr>
    </w:tbl>
    <w:p w:rsidR="00982E2F" w:rsidRPr="00FC0B68" w:rsidRDefault="006834C2" w:rsidP="0017547F">
      <w:r w:rsidRPr="00FC0B68">
        <w:br w:type="page"/>
      </w:r>
      <w:r w:rsidR="00982E2F" w:rsidRPr="00FC0B68">
        <w:rPr>
          <w:noProof/>
        </w:rPr>
        <w:lastRenderedPageBreak/>
        <w:drawing>
          <wp:inline distT="0" distB="0" distL="0" distR="0" wp14:anchorId="65A25066" wp14:editId="1EF3580F">
            <wp:extent cx="5755157" cy="2477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67" b="46280"/>
                    <a:stretch/>
                  </pic:blipFill>
                  <pic:spPr bwMode="auto">
                    <a:xfrm>
                      <a:off x="0" y="0"/>
                      <a:ext cx="5758853" cy="247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E2F" w:rsidRPr="00FC0B68" w:rsidRDefault="00982E2F" w:rsidP="00982E2F">
      <w:pPr>
        <w:jc w:val="center"/>
      </w:pPr>
      <w:proofErr w:type="gramStart"/>
      <w:r w:rsidRPr="00FC0B68">
        <w:t>Fig.</w:t>
      </w:r>
      <w:proofErr w:type="gramEnd"/>
      <w:r w:rsidRPr="00FC0B68">
        <w:t xml:space="preserve"> S1. (a) </w:t>
      </w:r>
      <w:proofErr w:type="gramStart"/>
      <w:r w:rsidRPr="00FC0B68">
        <w:t>conversion</w:t>
      </w:r>
      <w:proofErr w:type="gramEnd"/>
      <w:r w:rsidRPr="00FC0B68">
        <w:t xml:space="preserve"> rate as a function of C</w:t>
      </w:r>
      <w:r w:rsidR="00F430B0">
        <w:rPr>
          <w:vertAlign w:val="subscript"/>
        </w:rPr>
        <w:t>7</w:t>
      </w:r>
      <w:r w:rsidRPr="00FC0B68">
        <w:t>H</w:t>
      </w:r>
      <w:r w:rsidR="00F430B0">
        <w:rPr>
          <w:vertAlign w:val="subscript"/>
        </w:rPr>
        <w:t>8</w:t>
      </w:r>
      <w:r w:rsidRPr="00FC0B68">
        <w:t xml:space="preserve"> concentra</w:t>
      </w:r>
      <w:r w:rsidR="00A75661" w:rsidRPr="00FC0B68">
        <w:t xml:space="preserve">tion at different temperatures </w:t>
      </w:r>
      <w:r w:rsidRPr="00FC0B68">
        <w:t>(C</w:t>
      </w:r>
      <w:r w:rsidRPr="00FC0B68">
        <w:rPr>
          <w:vertAlign w:val="subscript"/>
        </w:rPr>
        <w:t>O2</w:t>
      </w:r>
      <w:r w:rsidRPr="00FC0B68">
        <w:t xml:space="preserve"> = 10%, Q = 200 mL min</w:t>
      </w:r>
      <w:r w:rsidRPr="00FC0B68">
        <w:rPr>
          <w:vertAlign w:val="superscript"/>
        </w:rPr>
        <w:sym w:font="Symbol" w:char="F02D"/>
      </w:r>
      <w:r w:rsidRPr="00FC0B68">
        <w:rPr>
          <w:vertAlign w:val="superscript"/>
        </w:rPr>
        <w:t>1</w:t>
      </w:r>
      <w:r w:rsidRPr="00FC0B68">
        <w:t>); (</w:t>
      </w:r>
      <w:r w:rsidR="00A75661" w:rsidRPr="00FC0B68">
        <w:t>b</w:t>
      </w:r>
      <w:r w:rsidRPr="00FC0B68">
        <w:t>) conversion rate as a function of O</w:t>
      </w:r>
      <w:r w:rsidRPr="00FC0B68">
        <w:rPr>
          <w:vertAlign w:val="subscript"/>
        </w:rPr>
        <w:t>2</w:t>
      </w:r>
      <w:r w:rsidRPr="00FC0B68">
        <w:t xml:space="preserve"> concentration at different temperatures, respectively (C</w:t>
      </w:r>
      <w:r w:rsidRPr="00FC0B68">
        <w:rPr>
          <w:rFonts w:hint="eastAsia"/>
          <w:vertAlign w:val="subscript"/>
        </w:rPr>
        <w:t>C</w:t>
      </w:r>
      <w:r w:rsidR="00F430B0">
        <w:rPr>
          <w:vertAlign w:val="subscript"/>
        </w:rPr>
        <w:t>7</w:t>
      </w:r>
      <w:r w:rsidRPr="00FC0B68">
        <w:rPr>
          <w:rFonts w:hint="eastAsia"/>
          <w:vertAlign w:val="subscript"/>
        </w:rPr>
        <w:t>H</w:t>
      </w:r>
      <w:r w:rsidR="00F430B0">
        <w:rPr>
          <w:vertAlign w:val="subscript"/>
        </w:rPr>
        <w:t>8</w:t>
      </w:r>
      <w:r w:rsidRPr="00FC0B68">
        <w:rPr>
          <w:vertAlign w:val="subscript"/>
        </w:rPr>
        <w:t xml:space="preserve"> </w:t>
      </w:r>
      <w:r w:rsidRPr="00FC0B68">
        <w:t xml:space="preserve">= </w:t>
      </w:r>
      <w:r w:rsidRPr="00FC0B68">
        <w:rPr>
          <w:rFonts w:hint="eastAsia"/>
        </w:rPr>
        <w:t>1</w:t>
      </w:r>
      <w:r w:rsidRPr="00FC0B68">
        <w:t>10</w:t>
      </w:r>
      <w:r w:rsidRPr="00FC0B68">
        <w:rPr>
          <w:rFonts w:hint="eastAsia"/>
        </w:rPr>
        <w:t xml:space="preserve"> ppmv</w:t>
      </w:r>
      <w:r w:rsidRPr="00FC0B68">
        <w:t>, Q</w:t>
      </w:r>
      <w:r w:rsidRPr="00FC0B68">
        <w:rPr>
          <w:rFonts w:hint="eastAsia"/>
        </w:rPr>
        <w:t xml:space="preserve"> =</w:t>
      </w:r>
      <w:r w:rsidRPr="00FC0B68">
        <w:t xml:space="preserve"> </w:t>
      </w:r>
      <w:r w:rsidRPr="00FC0B68">
        <w:rPr>
          <w:rFonts w:hint="eastAsia"/>
        </w:rPr>
        <w:t xml:space="preserve">200 </w:t>
      </w:r>
      <w:r w:rsidRPr="00FC0B68">
        <w:t>mL min</w:t>
      </w:r>
      <w:r w:rsidRPr="00FC0B68">
        <w:rPr>
          <w:vertAlign w:val="superscript"/>
        </w:rPr>
        <w:sym w:font="Symbol" w:char="F02D"/>
      </w:r>
      <w:r w:rsidRPr="00FC0B68">
        <w:rPr>
          <w:vertAlign w:val="superscript"/>
        </w:rPr>
        <w:t>1</w:t>
      </w:r>
      <w:r w:rsidRPr="00FC0B68">
        <w:t>).</w:t>
      </w:r>
    </w:p>
    <w:p w:rsidR="00A75661" w:rsidRPr="00FC0B68" w:rsidRDefault="00A75661">
      <w:r w:rsidRPr="00FC0B68">
        <w:br w:type="page"/>
      </w:r>
    </w:p>
    <w:p w:rsidR="000C5E5D" w:rsidRPr="00FC0B68" w:rsidRDefault="00F430B0" w:rsidP="00C5103C">
      <w:pPr>
        <w:jc w:val="center"/>
        <w:rPr>
          <w:b/>
        </w:rPr>
      </w:pPr>
      <w:r w:rsidRPr="00F430B0">
        <w:rPr>
          <w:noProof/>
        </w:rPr>
        <w:lastRenderedPageBreak/>
        <w:drawing>
          <wp:inline distT="0" distB="0" distL="0" distR="0">
            <wp:extent cx="3678865" cy="29085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2" r="7416"/>
                    <a:stretch/>
                  </pic:blipFill>
                  <pic:spPr bwMode="auto">
                    <a:xfrm>
                      <a:off x="0" y="0"/>
                      <a:ext cx="3683373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E5D" w:rsidRPr="00FC0B68" w:rsidRDefault="000C5E5D" w:rsidP="00C5103C">
      <w:pPr>
        <w:jc w:val="center"/>
      </w:pPr>
      <w:proofErr w:type="gramStart"/>
      <w:r w:rsidRPr="00FC0B68">
        <w:t>Fig.</w:t>
      </w:r>
      <w:proofErr w:type="gramEnd"/>
      <w:r w:rsidRPr="00FC0B68">
        <w:t xml:space="preserve"> S</w:t>
      </w:r>
      <w:r w:rsidR="00A75661" w:rsidRPr="00FC0B68">
        <w:t>2</w:t>
      </w:r>
      <w:r w:rsidRPr="00FC0B68">
        <w:t>.</w:t>
      </w:r>
      <w:r w:rsidR="00C5103C" w:rsidRPr="00FC0B68">
        <w:t xml:space="preserve"> </w:t>
      </w:r>
      <w:r w:rsidR="005851B3">
        <w:t>C</w:t>
      </w:r>
      <w:r w:rsidR="00C5103C" w:rsidRPr="00FC0B68">
        <w:t>onversion rate fitting of C</w:t>
      </w:r>
      <w:r w:rsidR="00F430B0">
        <w:rPr>
          <w:vertAlign w:val="subscript"/>
        </w:rPr>
        <w:t>7</w:t>
      </w:r>
      <w:r w:rsidR="00C5103C" w:rsidRPr="00FC0B68">
        <w:t>H</w:t>
      </w:r>
      <w:r w:rsidR="00F430B0">
        <w:rPr>
          <w:vertAlign w:val="subscript"/>
        </w:rPr>
        <w:t>8</w:t>
      </w:r>
      <w:r w:rsidR="00C5103C" w:rsidRPr="00FC0B68">
        <w:t xml:space="preserve"> and CO</w:t>
      </w:r>
      <w:r w:rsidR="00C5103C" w:rsidRPr="00FC0B68">
        <w:rPr>
          <w:vertAlign w:val="subscript"/>
        </w:rPr>
        <w:t>2</w:t>
      </w:r>
    </w:p>
    <w:p w:rsidR="002211DE" w:rsidRPr="00FC0B68" w:rsidRDefault="002211DE" w:rsidP="00D60C9F"/>
    <w:sectPr w:rsidR="002211DE" w:rsidRPr="00FC0B68" w:rsidSect="00E122B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CA" w:rsidRDefault="00B531CA" w:rsidP="00232796">
      <w:pPr>
        <w:spacing w:after="0" w:line="240" w:lineRule="auto"/>
      </w:pPr>
      <w:r>
        <w:separator/>
      </w:r>
    </w:p>
  </w:endnote>
  <w:endnote w:type="continuationSeparator" w:id="0">
    <w:p w:rsidR="00B531CA" w:rsidRDefault="00B531CA" w:rsidP="002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471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389" w:rsidRDefault="008F3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389" w:rsidRDefault="008F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CA" w:rsidRDefault="00B531CA" w:rsidP="00232796">
      <w:pPr>
        <w:spacing w:after="0" w:line="240" w:lineRule="auto"/>
      </w:pPr>
      <w:r>
        <w:separator/>
      </w:r>
    </w:p>
  </w:footnote>
  <w:footnote w:type="continuationSeparator" w:id="0">
    <w:p w:rsidR="00B531CA" w:rsidRDefault="00B531CA" w:rsidP="0023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tDAyNzA0sjQ2MjRW0lEKTi0uzszPAykwMqgFAMKbk74tAAAA"/>
    <w:docVar w:name="EN.Layout" w:val="&lt;ENLayout&gt;&lt;Style&gt;Chem Engineer 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20974"/>
    <w:rsid w:val="0000270D"/>
    <w:rsid w:val="00016975"/>
    <w:rsid w:val="000308D5"/>
    <w:rsid w:val="00050B4A"/>
    <w:rsid w:val="000568E0"/>
    <w:rsid w:val="000641BE"/>
    <w:rsid w:val="00095CE5"/>
    <w:rsid w:val="000B26A3"/>
    <w:rsid w:val="000C5E5D"/>
    <w:rsid w:val="000F6087"/>
    <w:rsid w:val="00140A90"/>
    <w:rsid w:val="0017547F"/>
    <w:rsid w:val="0019114A"/>
    <w:rsid w:val="002211DE"/>
    <w:rsid w:val="00223FF8"/>
    <w:rsid w:val="00232796"/>
    <w:rsid w:val="0028539E"/>
    <w:rsid w:val="00293A80"/>
    <w:rsid w:val="002B25C7"/>
    <w:rsid w:val="002D6229"/>
    <w:rsid w:val="002E2793"/>
    <w:rsid w:val="00305F39"/>
    <w:rsid w:val="00320974"/>
    <w:rsid w:val="0032141F"/>
    <w:rsid w:val="0037447E"/>
    <w:rsid w:val="00384842"/>
    <w:rsid w:val="003E169A"/>
    <w:rsid w:val="00402C59"/>
    <w:rsid w:val="00470A35"/>
    <w:rsid w:val="004C5EE6"/>
    <w:rsid w:val="004D643D"/>
    <w:rsid w:val="00513D97"/>
    <w:rsid w:val="0051588B"/>
    <w:rsid w:val="0052314A"/>
    <w:rsid w:val="00533AB0"/>
    <w:rsid w:val="00535AAC"/>
    <w:rsid w:val="0056199B"/>
    <w:rsid w:val="00567059"/>
    <w:rsid w:val="00580148"/>
    <w:rsid w:val="005827B6"/>
    <w:rsid w:val="005851B3"/>
    <w:rsid w:val="005902E1"/>
    <w:rsid w:val="005A14C5"/>
    <w:rsid w:val="005D19D3"/>
    <w:rsid w:val="006408CF"/>
    <w:rsid w:val="0064210A"/>
    <w:rsid w:val="00646533"/>
    <w:rsid w:val="00652550"/>
    <w:rsid w:val="00657A4B"/>
    <w:rsid w:val="00660776"/>
    <w:rsid w:val="006834C2"/>
    <w:rsid w:val="00695A3B"/>
    <w:rsid w:val="006A2EF8"/>
    <w:rsid w:val="006B0968"/>
    <w:rsid w:val="006D34AD"/>
    <w:rsid w:val="00705C87"/>
    <w:rsid w:val="00707FA5"/>
    <w:rsid w:val="00726449"/>
    <w:rsid w:val="007A1607"/>
    <w:rsid w:val="007C7965"/>
    <w:rsid w:val="00812ED9"/>
    <w:rsid w:val="0083717F"/>
    <w:rsid w:val="008413A3"/>
    <w:rsid w:val="00844C4C"/>
    <w:rsid w:val="00882B55"/>
    <w:rsid w:val="0089732F"/>
    <w:rsid w:val="008F3389"/>
    <w:rsid w:val="008F7CEC"/>
    <w:rsid w:val="0093565E"/>
    <w:rsid w:val="00936845"/>
    <w:rsid w:val="00965632"/>
    <w:rsid w:val="00982E2F"/>
    <w:rsid w:val="009916A0"/>
    <w:rsid w:val="00993836"/>
    <w:rsid w:val="009E26EE"/>
    <w:rsid w:val="00A6583B"/>
    <w:rsid w:val="00A75661"/>
    <w:rsid w:val="00A7738E"/>
    <w:rsid w:val="00AB0EC0"/>
    <w:rsid w:val="00AC4FAC"/>
    <w:rsid w:val="00AD7AEF"/>
    <w:rsid w:val="00B06D5D"/>
    <w:rsid w:val="00B500D7"/>
    <w:rsid w:val="00B531CA"/>
    <w:rsid w:val="00B62424"/>
    <w:rsid w:val="00B971E4"/>
    <w:rsid w:val="00C5103C"/>
    <w:rsid w:val="00CB27EF"/>
    <w:rsid w:val="00D20588"/>
    <w:rsid w:val="00D47369"/>
    <w:rsid w:val="00D60C9F"/>
    <w:rsid w:val="00D90D33"/>
    <w:rsid w:val="00DE3726"/>
    <w:rsid w:val="00E122B3"/>
    <w:rsid w:val="00E25D96"/>
    <w:rsid w:val="00E71DD5"/>
    <w:rsid w:val="00E85EED"/>
    <w:rsid w:val="00E94BAD"/>
    <w:rsid w:val="00F05F9F"/>
    <w:rsid w:val="00F40AD6"/>
    <w:rsid w:val="00F430B0"/>
    <w:rsid w:val="00F5090C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FF8"/>
    <w:pPr>
      <w:keepNext/>
      <w:keepLines/>
      <w:spacing w:after="0" w:line="480" w:lineRule="auto"/>
      <w:jc w:val="both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96"/>
  </w:style>
  <w:style w:type="paragraph" w:styleId="Footer">
    <w:name w:val="footer"/>
    <w:basedOn w:val="Normal"/>
    <w:link w:val="FooterChar"/>
    <w:uiPriority w:val="99"/>
    <w:unhideWhenUsed/>
    <w:rsid w:val="00232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96"/>
  </w:style>
  <w:style w:type="character" w:customStyle="1" w:styleId="Heading2Char">
    <w:name w:val="Heading 2 Char"/>
    <w:basedOn w:val="DefaultParagraphFont"/>
    <w:link w:val="Heading2"/>
    <w:uiPriority w:val="9"/>
    <w:rsid w:val="00223FF8"/>
    <w:rPr>
      <w:rFonts w:eastAsiaTheme="maj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AC4FA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4FAC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AC4FAC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4FAC"/>
    <w:rPr>
      <w:noProof/>
    </w:rPr>
  </w:style>
  <w:style w:type="table" w:styleId="TableGrid">
    <w:name w:val="Table Grid"/>
    <w:basedOn w:val="TableNormal"/>
    <w:uiPriority w:val="59"/>
    <w:rsid w:val="006D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936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FF8"/>
    <w:pPr>
      <w:keepNext/>
      <w:keepLines/>
      <w:spacing w:after="0" w:line="480" w:lineRule="auto"/>
      <w:jc w:val="both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96"/>
  </w:style>
  <w:style w:type="paragraph" w:styleId="Footer">
    <w:name w:val="footer"/>
    <w:basedOn w:val="Normal"/>
    <w:link w:val="FooterChar"/>
    <w:uiPriority w:val="99"/>
    <w:unhideWhenUsed/>
    <w:rsid w:val="00232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96"/>
  </w:style>
  <w:style w:type="character" w:customStyle="1" w:styleId="Heading2Char">
    <w:name w:val="Heading 2 Char"/>
    <w:basedOn w:val="DefaultParagraphFont"/>
    <w:link w:val="Heading2"/>
    <w:uiPriority w:val="9"/>
    <w:rsid w:val="00223FF8"/>
    <w:rPr>
      <w:rFonts w:eastAsiaTheme="maj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AC4FA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4FAC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AC4FAC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4FAC"/>
    <w:rPr>
      <w:noProof/>
    </w:rPr>
  </w:style>
  <w:style w:type="table" w:styleId="TableGrid">
    <w:name w:val="Table Grid"/>
    <w:basedOn w:val="TableNormal"/>
    <w:uiPriority w:val="59"/>
    <w:rsid w:val="006D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936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ics.bidh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endv@hufi.edu.v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</cp:lastModifiedBy>
  <cp:revision>71</cp:revision>
  <dcterms:created xsi:type="dcterms:W3CDTF">2021-07-10T12:36:00Z</dcterms:created>
  <dcterms:modified xsi:type="dcterms:W3CDTF">2023-07-30T08:17:00Z</dcterms:modified>
</cp:coreProperties>
</file>