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942" w:rsidRDefault="00580C8A" w:rsidP="002421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8C1889">
        <w:rPr>
          <w:rFonts w:ascii="Times New Roman" w:hAnsi="Times New Roman" w:cs="Times New Roman"/>
          <w:b/>
          <w:sz w:val="28"/>
          <w:szCs w:val="28"/>
          <w:u w:val="single"/>
        </w:rPr>
        <w:t xml:space="preserve">Supplementary </w:t>
      </w:r>
      <w:r w:rsidR="009734A0">
        <w:rPr>
          <w:rFonts w:ascii="Times New Roman" w:hAnsi="Times New Roman" w:cs="Times New Roman"/>
          <w:b/>
          <w:sz w:val="28"/>
          <w:szCs w:val="28"/>
          <w:u w:val="single"/>
        </w:rPr>
        <w:t>Material</w:t>
      </w:r>
    </w:p>
    <w:p w:rsidR="00427F30" w:rsidRDefault="00427F30" w:rsidP="008C7D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27DA" w:rsidRPr="003538C8" w:rsidRDefault="00E927DA" w:rsidP="00E927D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3BDE">
        <w:rPr>
          <w:rFonts w:ascii="Times New Roman" w:hAnsi="Times New Roman" w:cs="Times New Roman"/>
          <w:b/>
          <w:bCs/>
          <w:sz w:val="24"/>
          <w:szCs w:val="24"/>
        </w:rPr>
        <w:t>Protocatechuic</w:t>
      </w:r>
      <w:proofErr w:type="spellEnd"/>
      <w:r w:rsidRPr="00223BDE">
        <w:rPr>
          <w:rFonts w:ascii="Times New Roman" w:hAnsi="Times New Roman" w:cs="Times New Roman"/>
          <w:b/>
          <w:bCs/>
          <w:sz w:val="24"/>
          <w:szCs w:val="24"/>
        </w:rPr>
        <w:t xml:space="preserve"> acid mitigates </w:t>
      </w:r>
      <w:proofErr w:type="spellStart"/>
      <w:r w:rsidRPr="00223BDE">
        <w:rPr>
          <w:rFonts w:ascii="Times New Roman" w:hAnsi="Times New Roman" w:cs="Times New Roman"/>
          <w:b/>
          <w:bCs/>
          <w:sz w:val="24"/>
          <w:szCs w:val="24"/>
        </w:rPr>
        <w:t>CuO</w:t>
      </w:r>
      <w:proofErr w:type="spellEnd"/>
      <w:r w:rsidRPr="00223BDE">
        <w:rPr>
          <w:rFonts w:ascii="Times New Roman" w:hAnsi="Times New Roman" w:cs="Times New Roman"/>
          <w:b/>
          <w:bCs/>
          <w:sz w:val="24"/>
          <w:szCs w:val="24"/>
        </w:rPr>
        <w:t xml:space="preserve"> nanoparticles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23BDE">
        <w:rPr>
          <w:rFonts w:ascii="Times New Roman" w:hAnsi="Times New Roman" w:cs="Times New Roman"/>
          <w:b/>
          <w:bCs/>
          <w:sz w:val="24"/>
          <w:szCs w:val="24"/>
        </w:rPr>
        <w:t xml:space="preserve">induced toxicity by </w:t>
      </w:r>
      <w:r w:rsidRPr="00223BDE">
        <w:rPr>
          <w:rFonts w:ascii="Times New Roman" w:hAnsi="Times New Roman" w:cs="Times New Roman"/>
          <w:b/>
          <w:color w:val="000000"/>
          <w:sz w:val="24"/>
          <w:szCs w:val="24"/>
        </w:rPr>
        <w:t>strengthening</w:t>
      </w:r>
      <w:r w:rsidRPr="00223B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antioxidant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defense</w:t>
      </w:r>
      <w:proofErr w:type="spellEnd"/>
      <w:r w:rsidRPr="00223BDE">
        <w:rPr>
          <w:rFonts w:ascii="Times New Roman" w:hAnsi="Times New Roman" w:cs="Times New Roman"/>
          <w:b/>
          <w:bCs/>
          <w:sz w:val="24"/>
          <w:szCs w:val="24"/>
        </w:rPr>
        <w:t xml:space="preserve"> system and sup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23BDE">
        <w:rPr>
          <w:rFonts w:ascii="Times New Roman" w:hAnsi="Times New Roman" w:cs="Times New Roman"/>
          <w:b/>
          <w:bCs/>
          <w:sz w:val="24"/>
          <w:szCs w:val="24"/>
        </w:rPr>
        <w:t>ressing apoptosis in liver cells</w:t>
      </w:r>
      <w:r w:rsidRPr="00353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27DA" w:rsidRPr="005A6E5B" w:rsidRDefault="00E927DA" w:rsidP="00E927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5A6E5B">
        <w:rPr>
          <w:rFonts w:ascii="Times New Roman" w:hAnsi="Times New Roman" w:cs="Times New Roman"/>
          <w:sz w:val="24"/>
          <w:szCs w:val="24"/>
        </w:rPr>
        <w:t>Maqusood</w:t>
      </w:r>
      <w:proofErr w:type="spellEnd"/>
      <w:r w:rsidRPr="005A6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E5B">
        <w:rPr>
          <w:rFonts w:ascii="Times New Roman" w:hAnsi="Times New Roman" w:cs="Times New Roman"/>
          <w:sz w:val="24"/>
          <w:szCs w:val="24"/>
        </w:rPr>
        <w:t>Ahamed</w:t>
      </w:r>
      <w:proofErr w:type="spellEnd"/>
      <w:r w:rsidRPr="005A6E5B">
        <w:rPr>
          <w:rFonts w:ascii="Times New Roman" w:hAnsi="Times New Roman" w:cs="Times New Roman"/>
          <w:sz w:val="24"/>
          <w:szCs w:val="24"/>
        </w:rPr>
        <w:t xml:space="preserve"> </w:t>
      </w:r>
      <w:r w:rsidR="00CB0869" w:rsidRPr="005A6E5B">
        <w:rPr>
          <w:rFonts w:ascii="Times New Roman" w:hAnsi="Times New Roman" w:cs="Times New Roman"/>
          <w:sz w:val="24"/>
          <w:szCs w:val="24"/>
          <w:vertAlign w:val="superscript"/>
        </w:rPr>
        <w:t>1, *</w:t>
      </w:r>
      <w:r w:rsidRPr="005A6E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E5B">
        <w:rPr>
          <w:rFonts w:ascii="Times New Roman" w:hAnsi="Times New Roman" w:cs="Times New Roman"/>
          <w:sz w:val="24"/>
          <w:szCs w:val="24"/>
        </w:rPr>
        <w:t>Mohd</w:t>
      </w:r>
      <w:proofErr w:type="spellEnd"/>
      <w:r w:rsidRPr="005A6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E5B">
        <w:rPr>
          <w:rFonts w:ascii="Times New Roman" w:hAnsi="Times New Roman" w:cs="Times New Roman"/>
          <w:sz w:val="24"/>
          <w:szCs w:val="24"/>
        </w:rPr>
        <w:t>Javed</w:t>
      </w:r>
      <w:proofErr w:type="spellEnd"/>
      <w:r w:rsidRPr="005A6E5B">
        <w:rPr>
          <w:rFonts w:ascii="Times New Roman" w:hAnsi="Times New Roman" w:cs="Times New Roman"/>
          <w:sz w:val="24"/>
          <w:szCs w:val="24"/>
        </w:rPr>
        <w:t xml:space="preserve"> Akhtar </w:t>
      </w:r>
      <w:r w:rsidRPr="005A6E5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A6E5B">
        <w:rPr>
          <w:rFonts w:ascii="Times New Roman" w:hAnsi="Times New Roman" w:cs="Times New Roman"/>
          <w:sz w:val="24"/>
          <w:szCs w:val="24"/>
        </w:rPr>
        <w:t xml:space="preserve">, </w:t>
      </w:r>
      <w:r w:rsidRPr="005A6E5B">
        <w:rPr>
          <w:rFonts w:ascii="Times New Roman" w:hAnsi="Times New Roman" w:cs="Times New Roman"/>
          <w:sz w:val="24"/>
          <w:szCs w:val="24"/>
          <w:lang w:bidi="en-US"/>
        </w:rPr>
        <w:t xml:space="preserve">M.A. </w:t>
      </w:r>
      <w:proofErr w:type="spellStart"/>
      <w:r w:rsidRPr="005A6E5B">
        <w:rPr>
          <w:rFonts w:ascii="Times New Roman" w:hAnsi="Times New Roman" w:cs="Times New Roman"/>
          <w:sz w:val="24"/>
          <w:szCs w:val="24"/>
          <w:lang w:bidi="en-US"/>
        </w:rPr>
        <w:t>Majeed</w:t>
      </w:r>
      <w:proofErr w:type="spellEnd"/>
      <w:r w:rsidRPr="005A6E5B">
        <w:rPr>
          <w:rFonts w:ascii="Times New Roman" w:hAnsi="Times New Roman" w:cs="Times New Roman"/>
          <w:sz w:val="24"/>
          <w:szCs w:val="24"/>
          <w:lang w:bidi="en-US"/>
        </w:rPr>
        <w:t xml:space="preserve"> Khan </w:t>
      </w:r>
      <w:r w:rsidRPr="005A6E5B">
        <w:rPr>
          <w:rFonts w:ascii="Times New Roman" w:hAnsi="Times New Roman" w:cs="Times New Roman"/>
          <w:sz w:val="24"/>
          <w:szCs w:val="24"/>
          <w:vertAlign w:val="superscript"/>
          <w:lang w:bidi="en-US"/>
        </w:rPr>
        <w:t>1</w:t>
      </w:r>
      <w:r w:rsidRPr="005A6E5B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5A6E5B">
        <w:rPr>
          <w:rFonts w:ascii="Times New Roman" w:hAnsi="Times New Roman" w:cs="Times New Roman"/>
          <w:sz w:val="24"/>
          <w:szCs w:val="24"/>
        </w:rPr>
        <w:t>Hisham</w:t>
      </w:r>
      <w:proofErr w:type="spellEnd"/>
      <w:r w:rsidRPr="005A6E5B">
        <w:rPr>
          <w:rFonts w:ascii="Times New Roman" w:hAnsi="Times New Roman" w:cs="Times New Roman"/>
          <w:sz w:val="24"/>
          <w:szCs w:val="24"/>
        </w:rPr>
        <w:t xml:space="preserve"> </w:t>
      </w:r>
      <w:r w:rsidR="00CB0869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A6E5B">
        <w:rPr>
          <w:rFonts w:ascii="Times New Roman" w:hAnsi="Times New Roman" w:cs="Times New Roman"/>
          <w:sz w:val="24"/>
          <w:szCs w:val="24"/>
        </w:rPr>
        <w:t>Alhadlaq</w:t>
      </w:r>
      <w:proofErr w:type="spellEnd"/>
      <w:r w:rsidRPr="005A6E5B">
        <w:rPr>
          <w:rFonts w:ascii="Times New Roman" w:hAnsi="Times New Roman" w:cs="Times New Roman"/>
          <w:sz w:val="24"/>
          <w:szCs w:val="24"/>
        </w:rPr>
        <w:t xml:space="preserve"> </w:t>
      </w:r>
      <w:r w:rsidRPr="005A6E5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5A6E5B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proofErr w:type="gramEnd"/>
    </w:p>
    <w:p w:rsidR="00E927DA" w:rsidRPr="005A6E5B" w:rsidRDefault="00E927DA" w:rsidP="00E927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927DA" w:rsidRPr="00594BB7" w:rsidRDefault="00E927DA" w:rsidP="00E927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4BB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94BB7">
        <w:rPr>
          <w:rFonts w:ascii="Times New Roman" w:hAnsi="Times New Roman" w:cs="Times New Roman"/>
          <w:sz w:val="24"/>
          <w:szCs w:val="24"/>
        </w:rPr>
        <w:t xml:space="preserve"> King Abdullah Institute for Nanotechnology, King Saud University, Riyadh-11451, Saudi Arabia</w:t>
      </w:r>
    </w:p>
    <w:p w:rsidR="00E927DA" w:rsidRPr="00594BB7" w:rsidRDefault="00E927DA" w:rsidP="00E927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4BB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94BB7">
        <w:rPr>
          <w:rFonts w:ascii="Times New Roman" w:hAnsi="Times New Roman" w:cs="Times New Roman"/>
          <w:sz w:val="24"/>
          <w:szCs w:val="24"/>
        </w:rPr>
        <w:t xml:space="preserve"> Department of Physics and Astronomy, College of Science, King Saud University, Riyadh-11451, Saudi Arabia</w:t>
      </w:r>
    </w:p>
    <w:p w:rsidR="00E927DA" w:rsidRPr="00594BB7" w:rsidRDefault="00E927DA" w:rsidP="00E927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927DA" w:rsidRPr="00594BB7" w:rsidRDefault="00E927DA" w:rsidP="00E927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927DA" w:rsidRPr="00594BB7" w:rsidRDefault="00E927DA" w:rsidP="00E927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927DA" w:rsidRPr="00594BB7" w:rsidRDefault="00E927DA" w:rsidP="00E927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927DA" w:rsidRPr="00594BB7" w:rsidRDefault="00E927DA" w:rsidP="00E927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927DA" w:rsidRPr="00594BB7" w:rsidRDefault="00E927DA" w:rsidP="00E927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927DA" w:rsidRPr="00594BB7" w:rsidRDefault="00E927DA" w:rsidP="00E927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927DA" w:rsidRPr="00594BB7" w:rsidRDefault="00E927DA" w:rsidP="00E927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927DA" w:rsidRPr="00594BB7" w:rsidRDefault="00E927DA" w:rsidP="00E927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927DA" w:rsidRPr="00594BB7" w:rsidRDefault="00E927DA" w:rsidP="00E927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4BB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94BB7">
        <w:rPr>
          <w:rFonts w:ascii="Times New Roman" w:hAnsi="Times New Roman" w:cs="Times New Roman"/>
          <w:sz w:val="24"/>
          <w:szCs w:val="24"/>
        </w:rPr>
        <w:t>Corresponding author:</w:t>
      </w:r>
    </w:p>
    <w:p w:rsidR="00E927DA" w:rsidRDefault="00E927DA" w:rsidP="00E927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594BB7">
        <w:rPr>
          <w:rFonts w:ascii="Times New Roman" w:hAnsi="Times New Roman" w:cs="Times New Roman"/>
          <w:sz w:val="24"/>
          <w:szCs w:val="24"/>
        </w:rPr>
        <w:t>Maqusood</w:t>
      </w:r>
      <w:proofErr w:type="spellEnd"/>
      <w:r w:rsidRPr="0059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B7">
        <w:rPr>
          <w:rFonts w:ascii="Times New Roman" w:hAnsi="Times New Roman" w:cs="Times New Roman"/>
          <w:sz w:val="24"/>
          <w:szCs w:val="24"/>
        </w:rPr>
        <w:t>Ahamed</w:t>
      </w:r>
      <w:proofErr w:type="spellEnd"/>
      <w:r w:rsidRPr="00594BB7">
        <w:rPr>
          <w:rFonts w:ascii="Times New Roman" w:hAnsi="Times New Roman" w:cs="Times New Roman"/>
          <w:sz w:val="24"/>
          <w:szCs w:val="24"/>
        </w:rPr>
        <w:t>, Ph.D.</w:t>
      </w:r>
    </w:p>
    <w:p w:rsidR="00E927DA" w:rsidRPr="00594BB7" w:rsidRDefault="00CB0869" w:rsidP="00E927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at </w:t>
      </w:r>
      <w:r w:rsidR="00E927DA" w:rsidRPr="00594BB7">
        <w:rPr>
          <w:rFonts w:ascii="Times New Roman" w:hAnsi="Times New Roman" w:cs="Times New Roman"/>
          <w:sz w:val="24"/>
          <w:szCs w:val="24"/>
        </w:rPr>
        <w:t>King Abdullah Institute for Nanotechnology</w:t>
      </w:r>
    </w:p>
    <w:p w:rsidR="00E927DA" w:rsidRPr="00594BB7" w:rsidRDefault="00E927DA" w:rsidP="00E927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4BB7">
        <w:rPr>
          <w:rFonts w:ascii="Times New Roman" w:hAnsi="Times New Roman" w:cs="Times New Roman"/>
          <w:sz w:val="24"/>
          <w:szCs w:val="24"/>
        </w:rPr>
        <w:t>King Saud University</w:t>
      </w:r>
    </w:p>
    <w:p w:rsidR="00E927DA" w:rsidRPr="00594BB7" w:rsidRDefault="00E927DA" w:rsidP="00E927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4BB7">
        <w:rPr>
          <w:rFonts w:ascii="Times New Roman" w:hAnsi="Times New Roman" w:cs="Times New Roman"/>
          <w:sz w:val="24"/>
          <w:szCs w:val="24"/>
        </w:rPr>
        <w:t>Riyadh 11451, Saudi Arabia</w:t>
      </w:r>
    </w:p>
    <w:p w:rsidR="00E927DA" w:rsidRPr="00594BB7" w:rsidRDefault="00E927DA" w:rsidP="00E927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94BB7">
        <w:rPr>
          <w:rFonts w:ascii="Times New Roman" w:hAnsi="Times New Roman" w:cs="Times New Roman"/>
          <w:sz w:val="24"/>
          <w:szCs w:val="24"/>
        </w:rPr>
        <w:t xml:space="preserve">Phone: +966114698781 </w:t>
      </w:r>
    </w:p>
    <w:p w:rsidR="00E927DA" w:rsidRPr="00594BB7" w:rsidRDefault="00E927DA" w:rsidP="00E927D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94BB7"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BB7">
        <w:rPr>
          <w:rStyle w:val="Hyperlink"/>
          <w:rFonts w:ascii="Times New Roman" w:hAnsi="Times New Roman" w:cs="Times New Roman"/>
          <w:sz w:val="24"/>
          <w:szCs w:val="24"/>
        </w:rPr>
        <w:t>mahamed@ksu.edu.sa</w:t>
      </w:r>
    </w:p>
    <w:p w:rsidR="00BF285F" w:rsidRDefault="00BF285F" w:rsidP="008C7DE1">
      <w:pPr>
        <w:pStyle w:val="MDPI16affiliation"/>
        <w:spacing w:line="360" w:lineRule="auto"/>
        <w:rPr>
          <w:rFonts w:ascii="Times New Roman" w:hAnsi="Times New Roman"/>
          <w:sz w:val="24"/>
          <w:szCs w:val="24"/>
        </w:rPr>
      </w:pPr>
    </w:p>
    <w:p w:rsidR="00E927DA" w:rsidRPr="00E927DA" w:rsidRDefault="00E927DA" w:rsidP="008C7DE1">
      <w:pPr>
        <w:pStyle w:val="MDPI16affiliation"/>
        <w:spacing w:line="360" w:lineRule="auto"/>
        <w:rPr>
          <w:rFonts w:ascii="Times New Roman" w:hAnsi="Times New Roman"/>
          <w:sz w:val="24"/>
          <w:szCs w:val="24"/>
        </w:rPr>
      </w:pPr>
    </w:p>
    <w:p w:rsidR="00427F30" w:rsidRDefault="00427F30" w:rsidP="008C7D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96467" w:rsidRDefault="00E96467" w:rsidP="008C7D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96467" w:rsidRPr="00427F30" w:rsidRDefault="00E96467" w:rsidP="008C7D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DF532C" w:rsidRDefault="00DF532C" w:rsidP="008C7D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9A1">
        <w:rPr>
          <w:rFonts w:ascii="Times New Roman" w:hAnsi="Times New Roman" w:cs="Times New Roman"/>
          <w:b/>
          <w:sz w:val="24"/>
          <w:szCs w:val="24"/>
        </w:rPr>
        <w:lastRenderedPageBreak/>
        <w:t>Results</w:t>
      </w:r>
    </w:p>
    <w:p w:rsidR="002346AF" w:rsidRDefault="002346AF" w:rsidP="002346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Exposure protocol and selection of concentrations of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CuO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NPs and PCA</w:t>
      </w:r>
    </w:p>
    <w:p w:rsidR="002346AF" w:rsidRDefault="004E4C1F" w:rsidP="00DE05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Stock solution (1 mg/ml)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NPs and PCA was prepared in culture medium. </w:t>
      </w:r>
      <w:r w:rsidRPr="00905CA6">
        <w:rPr>
          <w:rFonts w:ascii="Times New Roman" w:hAnsi="Times New Roman" w:cs="Times New Roman"/>
          <w:sz w:val="24"/>
          <w:szCs w:val="24"/>
        </w:rPr>
        <w:t>First</w:t>
      </w:r>
      <w:r>
        <w:rPr>
          <w:rFonts w:ascii="Times New Roman" w:hAnsi="Times New Roman" w:cs="Times New Roman"/>
          <w:sz w:val="24"/>
          <w:szCs w:val="24"/>
        </w:rPr>
        <w:t xml:space="preserve"> of all</w:t>
      </w:r>
      <w:r w:rsidRPr="00905CA6">
        <w:rPr>
          <w:rFonts w:ascii="Times New Roman" w:hAnsi="Times New Roman" w:cs="Times New Roman"/>
          <w:sz w:val="24"/>
          <w:szCs w:val="24"/>
        </w:rPr>
        <w:t xml:space="preserve">, we performed a screening </w:t>
      </w:r>
      <w:r>
        <w:rPr>
          <w:rFonts w:ascii="Times New Roman" w:hAnsi="Times New Roman" w:cs="Times New Roman"/>
          <w:sz w:val="24"/>
          <w:szCs w:val="24"/>
        </w:rPr>
        <w:t xml:space="preserve">MTT </w:t>
      </w:r>
      <w:r w:rsidRPr="00905CA6">
        <w:rPr>
          <w:rFonts w:ascii="Times New Roman" w:hAnsi="Times New Roman" w:cs="Times New Roman"/>
          <w:sz w:val="24"/>
          <w:szCs w:val="24"/>
        </w:rPr>
        <w:t xml:space="preserve">assay to choose appropriate dosages of </w:t>
      </w:r>
      <w:proofErr w:type="spellStart"/>
      <w:r w:rsidRPr="00905CA6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905CA6">
        <w:rPr>
          <w:rFonts w:ascii="Times New Roman" w:hAnsi="Times New Roman" w:cs="Times New Roman"/>
          <w:sz w:val="24"/>
          <w:szCs w:val="24"/>
        </w:rPr>
        <w:t xml:space="preserve"> NPs and PCA. Briefly, </w:t>
      </w:r>
      <w:r>
        <w:rPr>
          <w:rFonts w:ascii="Times New Roman" w:hAnsi="Times New Roman" w:cs="Times New Roman"/>
          <w:sz w:val="24"/>
          <w:szCs w:val="24"/>
        </w:rPr>
        <w:t xml:space="preserve">both types of </w:t>
      </w:r>
      <w:r w:rsidRPr="00905CA6">
        <w:rPr>
          <w:rFonts w:ascii="Times New Roman" w:hAnsi="Times New Roman" w:cs="Times New Roman"/>
          <w:sz w:val="24"/>
          <w:szCs w:val="24"/>
        </w:rPr>
        <w:t xml:space="preserve">cells were individually treated to various concentrations of </w:t>
      </w:r>
      <w:proofErr w:type="spellStart"/>
      <w:r w:rsidRPr="00905CA6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905CA6">
        <w:rPr>
          <w:rFonts w:ascii="Times New Roman" w:hAnsi="Times New Roman" w:cs="Times New Roman"/>
          <w:sz w:val="24"/>
          <w:szCs w:val="24"/>
        </w:rPr>
        <w:t xml:space="preserve"> NPs (0, 1, 2.5, 5, 10, 25, 50, and 100 µg/ml) and PCA (0, 1, 2.5, 5, 10, 25, 50, and 100 µg/ml) for 24 h.  At the end of exposure time, MTT assay was performed</w:t>
      </w:r>
      <w:r>
        <w:rPr>
          <w:rFonts w:ascii="Times New Roman" w:hAnsi="Times New Roman" w:cs="Times New Roman"/>
          <w:sz w:val="24"/>
          <w:szCs w:val="24"/>
        </w:rPr>
        <w:t xml:space="preserve">. Results showed that </w:t>
      </w:r>
      <w:r w:rsidRPr="00905CA6">
        <w:rPr>
          <w:rFonts w:ascii="Times New Roman" w:hAnsi="Times New Roman" w:cs="Times New Roman"/>
          <w:sz w:val="24"/>
          <w:szCs w:val="24"/>
        </w:rPr>
        <w:t xml:space="preserve">PCA did not induce cytotoxicity </w:t>
      </w:r>
      <w:r>
        <w:rPr>
          <w:rFonts w:ascii="Times New Roman" w:hAnsi="Times New Roman" w:cs="Times New Roman"/>
          <w:sz w:val="24"/>
          <w:szCs w:val="24"/>
        </w:rPr>
        <w:t>in selected concent</w:t>
      </w:r>
      <w:r w:rsidR="00704CB3">
        <w:rPr>
          <w:rFonts w:ascii="Times New Roman" w:hAnsi="Times New Roman" w:cs="Times New Roman"/>
          <w:sz w:val="24"/>
          <w:szCs w:val="24"/>
        </w:rPr>
        <w:t>rations in both cells (Figure S1</w:t>
      </w:r>
      <w:r w:rsidRPr="00905CA6">
        <w:rPr>
          <w:rFonts w:ascii="Times New Roman" w:hAnsi="Times New Roman" w:cs="Times New Roman"/>
          <w:sz w:val="24"/>
          <w:szCs w:val="24"/>
        </w:rPr>
        <w:t>, Supplementary material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05CA6">
        <w:rPr>
          <w:rFonts w:ascii="Times New Roman" w:hAnsi="Times New Roman" w:cs="Times New Roman"/>
          <w:sz w:val="24"/>
          <w:szCs w:val="24"/>
        </w:rPr>
        <w:t xml:space="preserve">. Conversely, </w:t>
      </w:r>
      <w:proofErr w:type="spellStart"/>
      <w:r w:rsidRPr="00905CA6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905CA6">
        <w:rPr>
          <w:rFonts w:ascii="Times New Roman" w:hAnsi="Times New Roman" w:cs="Times New Roman"/>
          <w:sz w:val="24"/>
          <w:szCs w:val="24"/>
        </w:rPr>
        <w:t xml:space="preserve"> NPs induced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05CA6">
        <w:rPr>
          <w:rFonts w:ascii="Times New Roman" w:hAnsi="Times New Roman" w:cs="Times New Roman"/>
          <w:sz w:val="24"/>
          <w:szCs w:val="24"/>
        </w:rPr>
        <w:t>dose-dependent cytotoxicity in the concentration range of 5-100 µg/ml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704CB3">
        <w:rPr>
          <w:rFonts w:ascii="Times New Roman" w:hAnsi="Times New Roman" w:cs="Times New Roman"/>
          <w:sz w:val="24"/>
          <w:szCs w:val="24"/>
        </w:rPr>
        <w:t>n both types of cells (Figure S2</w:t>
      </w:r>
      <w:r w:rsidRPr="00905CA6">
        <w:rPr>
          <w:rFonts w:ascii="Times New Roman" w:hAnsi="Times New Roman" w:cs="Times New Roman"/>
          <w:sz w:val="24"/>
          <w:szCs w:val="24"/>
        </w:rPr>
        <w:t>, Supplementary material). The IC</w:t>
      </w:r>
      <w:r w:rsidRPr="00905CA6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905CA6">
        <w:rPr>
          <w:rFonts w:ascii="Times New Roman" w:hAnsi="Times New Roman" w:cs="Times New Roman"/>
          <w:sz w:val="24"/>
          <w:szCs w:val="24"/>
        </w:rPr>
        <w:t xml:space="preserve"> value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05CA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05CA6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905CA6">
        <w:rPr>
          <w:rFonts w:ascii="Times New Roman" w:hAnsi="Times New Roman" w:cs="Times New Roman"/>
          <w:sz w:val="24"/>
          <w:szCs w:val="24"/>
        </w:rPr>
        <w:t xml:space="preserve"> NPs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Pr="00905CA6">
        <w:rPr>
          <w:rFonts w:ascii="Times New Roman" w:hAnsi="Times New Roman" w:cs="Times New Roman"/>
          <w:sz w:val="24"/>
          <w:szCs w:val="24"/>
        </w:rPr>
        <w:t xml:space="preserve">26.56 µg/ml </w:t>
      </w:r>
      <w:r>
        <w:rPr>
          <w:rFonts w:ascii="Times New Roman" w:hAnsi="Times New Roman" w:cs="Times New Roman"/>
          <w:sz w:val="24"/>
          <w:szCs w:val="24"/>
        </w:rPr>
        <w:t>and 29.66 µg/ml for HepG2 cells and primary rat hepa</w:t>
      </w:r>
      <w:r w:rsidR="00704CB3">
        <w:rPr>
          <w:rFonts w:ascii="Times New Roman" w:hAnsi="Times New Roman" w:cs="Times New Roman"/>
          <w:sz w:val="24"/>
          <w:szCs w:val="24"/>
        </w:rPr>
        <w:t>tocytes, respectively (Figure S3</w:t>
      </w:r>
      <w:r w:rsidRPr="00905CA6">
        <w:rPr>
          <w:rFonts w:ascii="Times New Roman" w:hAnsi="Times New Roman" w:cs="Times New Roman"/>
          <w:sz w:val="24"/>
          <w:szCs w:val="24"/>
        </w:rPr>
        <w:t>, Supplementary material). Therefore, in co-exposure study we selected IC</w:t>
      </w:r>
      <w:r w:rsidRPr="00905CA6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905CA6">
        <w:rPr>
          <w:rFonts w:ascii="Times New Roman" w:hAnsi="Times New Roman" w:cs="Times New Roman"/>
          <w:sz w:val="24"/>
          <w:szCs w:val="24"/>
        </w:rPr>
        <w:t xml:space="preserve"> value of </w:t>
      </w:r>
      <w:proofErr w:type="spellStart"/>
      <w:r w:rsidRPr="00905CA6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905CA6">
        <w:rPr>
          <w:rFonts w:ascii="Times New Roman" w:hAnsi="Times New Roman" w:cs="Times New Roman"/>
          <w:sz w:val="24"/>
          <w:szCs w:val="24"/>
        </w:rPr>
        <w:t xml:space="preserve"> NPs. To </w:t>
      </w:r>
      <w:r>
        <w:rPr>
          <w:rFonts w:ascii="Times New Roman" w:hAnsi="Times New Roman" w:cs="Times New Roman"/>
          <w:sz w:val="24"/>
          <w:szCs w:val="24"/>
        </w:rPr>
        <w:t xml:space="preserve">further </w:t>
      </w:r>
      <w:r w:rsidRPr="00905CA6">
        <w:rPr>
          <w:rFonts w:ascii="Times New Roman" w:hAnsi="Times New Roman" w:cs="Times New Roman"/>
          <w:sz w:val="24"/>
          <w:szCs w:val="24"/>
        </w:rPr>
        <w:t>choose the appropriate concentration of PCA, we have performed an experiment where different concentrations of PCA (1-100 µg/ml) co-exposed with IC</w:t>
      </w:r>
      <w:r w:rsidRPr="00905CA6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905CA6">
        <w:rPr>
          <w:rFonts w:ascii="Times New Roman" w:hAnsi="Times New Roman" w:cs="Times New Roman"/>
          <w:sz w:val="24"/>
          <w:szCs w:val="24"/>
        </w:rPr>
        <w:t xml:space="preserve"> value of </w:t>
      </w:r>
      <w:proofErr w:type="spellStart"/>
      <w:r w:rsidRPr="00905CA6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905CA6">
        <w:rPr>
          <w:rFonts w:ascii="Times New Roman" w:hAnsi="Times New Roman" w:cs="Times New Roman"/>
          <w:sz w:val="24"/>
          <w:szCs w:val="24"/>
        </w:rPr>
        <w:t xml:space="preserve"> NPs</w:t>
      </w:r>
      <w:r w:rsidR="00704CB3">
        <w:rPr>
          <w:rFonts w:ascii="Times New Roman" w:hAnsi="Times New Roman" w:cs="Times New Roman"/>
          <w:sz w:val="24"/>
          <w:szCs w:val="24"/>
        </w:rPr>
        <w:t xml:space="preserve"> (Figure S4</w:t>
      </w:r>
      <w:r w:rsidRPr="00905CA6">
        <w:rPr>
          <w:rFonts w:ascii="Times New Roman" w:hAnsi="Times New Roman" w:cs="Times New Roman"/>
          <w:sz w:val="24"/>
          <w:szCs w:val="24"/>
        </w:rPr>
        <w:t>, Supplementary material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05CA6">
        <w:rPr>
          <w:rFonts w:ascii="Times New Roman" w:hAnsi="Times New Roman" w:cs="Times New Roman"/>
          <w:sz w:val="24"/>
          <w:szCs w:val="24"/>
        </w:rPr>
        <w:t xml:space="preserve">. Results showed that </w:t>
      </w:r>
      <w:r w:rsidRPr="00223BDE">
        <w:rPr>
          <w:rFonts w:ascii="Times New Roman" w:hAnsi="Times New Roman" w:cs="Times New Roman"/>
          <w:sz w:val="24"/>
          <w:szCs w:val="24"/>
        </w:rPr>
        <w:t xml:space="preserve">that cell viability declined to almost 50% following exposure to </w:t>
      </w:r>
      <w:proofErr w:type="spellStart"/>
      <w:r w:rsidRPr="00223BDE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223BDE">
        <w:rPr>
          <w:rFonts w:ascii="Times New Roman" w:hAnsi="Times New Roman" w:cs="Times New Roman"/>
          <w:sz w:val="24"/>
          <w:szCs w:val="24"/>
        </w:rPr>
        <w:t xml:space="preserve"> NPs (IC</w:t>
      </w:r>
      <w:r w:rsidRPr="00223BDE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223BDE">
        <w:rPr>
          <w:rFonts w:ascii="Times New Roman" w:hAnsi="Times New Roman" w:cs="Times New Roman"/>
          <w:sz w:val="24"/>
          <w:szCs w:val="24"/>
        </w:rPr>
        <w:t xml:space="preserve">), and treatment with PCA increased the cell viability in a dose-dependent manner in the concentration range of 1-10 µg/ml. Hence, our data suggested that treatment with PCA at the concentration of 10 µg/ml achieved maximum mitigating effect against </w:t>
      </w:r>
      <w:proofErr w:type="spellStart"/>
      <w:r w:rsidRPr="00223BDE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223BDE">
        <w:rPr>
          <w:rFonts w:ascii="Times New Roman" w:hAnsi="Times New Roman" w:cs="Times New Roman"/>
          <w:sz w:val="24"/>
          <w:szCs w:val="24"/>
        </w:rPr>
        <w:t xml:space="preserve"> NPs (IC</w:t>
      </w:r>
      <w:r w:rsidRPr="00223BDE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223BDE">
        <w:rPr>
          <w:rFonts w:ascii="Times New Roman" w:hAnsi="Times New Roman" w:cs="Times New Roman"/>
          <w:sz w:val="24"/>
          <w:szCs w:val="24"/>
        </w:rPr>
        <w:t>) induced cytotoxicity in both cells. This indicated that 10 µg/ml PCA was enough to mitigate IC</w:t>
      </w:r>
      <w:r w:rsidRPr="00223BDE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704CB3">
        <w:rPr>
          <w:rFonts w:ascii="Times New Roman" w:hAnsi="Times New Roman" w:cs="Times New Roman"/>
          <w:sz w:val="24"/>
          <w:szCs w:val="24"/>
        </w:rPr>
        <w:t xml:space="preserve"> toxicity of </w:t>
      </w:r>
      <w:proofErr w:type="spellStart"/>
      <w:r w:rsidR="00704CB3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="00704CB3">
        <w:rPr>
          <w:rFonts w:ascii="Times New Roman" w:hAnsi="Times New Roman" w:cs="Times New Roman"/>
          <w:sz w:val="24"/>
          <w:szCs w:val="24"/>
        </w:rPr>
        <w:t xml:space="preserve"> NPs (Figure S4</w:t>
      </w:r>
      <w:r w:rsidRPr="00223BDE">
        <w:rPr>
          <w:rFonts w:ascii="Times New Roman" w:hAnsi="Times New Roman" w:cs="Times New Roman"/>
          <w:sz w:val="24"/>
          <w:szCs w:val="24"/>
        </w:rPr>
        <w:t>, Supplementary material)</w:t>
      </w:r>
      <w:r w:rsidRPr="00905CA6">
        <w:rPr>
          <w:rFonts w:ascii="Times New Roman" w:hAnsi="Times New Roman" w:cs="Times New Roman"/>
          <w:sz w:val="24"/>
          <w:szCs w:val="24"/>
        </w:rPr>
        <w:t>. Hence, f</w:t>
      </w:r>
      <w:r>
        <w:rPr>
          <w:rFonts w:ascii="Times New Roman" w:hAnsi="Times New Roman" w:cs="Times New Roman"/>
          <w:sz w:val="24"/>
          <w:szCs w:val="24"/>
        </w:rPr>
        <w:t>or this study, we utilized 10 µg/ml of PCA to explore its mitigating po</w:t>
      </w:r>
      <w:r w:rsidRPr="00CC79C7">
        <w:rPr>
          <w:rFonts w:ascii="Times New Roman" w:hAnsi="Times New Roman" w:cs="Times New Roman"/>
          <w:sz w:val="24"/>
          <w:szCs w:val="24"/>
        </w:rPr>
        <w:t xml:space="preserve">tential against </w:t>
      </w:r>
      <w:proofErr w:type="spellStart"/>
      <w:r w:rsidRPr="00CC79C7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Pr="00CC79C7">
        <w:rPr>
          <w:rFonts w:ascii="Times New Roman" w:hAnsi="Times New Roman" w:cs="Times New Roman"/>
          <w:sz w:val="24"/>
          <w:szCs w:val="24"/>
        </w:rPr>
        <w:t xml:space="preserve"> NPs (IC</w:t>
      </w:r>
      <w:r w:rsidRPr="00CC79C7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CC79C7">
        <w:rPr>
          <w:rFonts w:ascii="Times New Roman" w:hAnsi="Times New Roman" w:cs="Times New Roman"/>
          <w:sz w:val="24"/>
          <w:szCs w:val="24"/>
        </w:rPr>
        <w:t>) induced toxicity.</w:t>
      </w:r>
      <w:r>
        <w:rPr>
          <w:rFonts w:ascii="Times New Roman" w:hAnsi="Times New Roman" w:cs="Times New Roman"/>
          <w:sz w:val="24"/>
          <w:szCs w:val="24"/>
        </w:rPr>
        <w:t xml:space="preserve"> Briefly, cells were divided into four groups; control group, PCA group (10 µg/ml), </w:t>
      </w:r>
      <w:proofErr w:type="spellStart"/>
      <w:r>
        <w:rPr>
          <w:rFonts w:ascii="Times New Roman" w:hAnsi="Times New Roman" w:cs="Times New Roman"/>
          <w:sz w:val="24"/>
          <w:szCs w:val="24"/>
        </w:rPr>
        <w:t>CuO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NPs group (IC</w:t>
      </w:r>
      <w:r w:rsidRPr="00DA2013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>
        <w:rPr>
          <w:rFonts w:ascii="Times New Roman" w:hAnsi="Times New Roman" w:cs="Times New Roman"/>
          <w:sz w:val="24"/>
          <w:szCs w:val="24"/>
        </w:rPr>
        <w:t>), and co-exposure group (</w:t>
      </w:r>
      <w:proofErr w:type="spellStart"/>
      <w:r>
        <w:rPr>
          <w:rFonts w:ascii="Times New Roman" w:hAnsi="Times New Roman" w:cs="Times New Roman"/>
          <w:sz w:val="24"/>
          <w:szCs w:val="24"/>
        </w:rPr>
        <w:t>PCA+CuO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NPs). In co-exposure group, 10 µg/ml of PCA exposed to cells 30 min before the treatment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NPs (IC</w:t>
      </w:r>
      <w:r w:rsidRPr="00F559CC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>
        <w:rPr>
          <w:rFonts w:ascii="Times New Roman" w:hAnsi="Times New Roman" w:cs="Times New Roman"/>
          <w:sz w:val="24"/>
          <w:szCs w:val="24"/>
        </w:rPr>
        <w:t>). Exposure time in all experiments were 24 h.</w:t>
      </w:r>
    </w:p>
    <w:p w:rsidR="00DD18C4" w:rsidRDefault="00906576" w:rsidP="0043113B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151.5pt;mso-position-horizontal-relative:char;mso-position-vertical-relative:line">
            <v:imagedata r:id="rId6" o:title=""/>
          </v:shape>
        </w:pict>
      </w:r>
    </w:p>
    <w:p w:rsidR="00DD18C4" w:rsidRPr="003910CA" w:rsidRDefault="00704CB3" w:rsidP="00555F9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Figure S1</w:t>
      </w:r>
      <w:r w:rsidR="00DD18C4" w:rsidRPr="003910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DD18C4" w:rsidRPr="00391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Cytotoxicity of PCA in HepG2 cells</w:t>
      </w:r>
      <w:r w:rsidR="00555F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primary rat hepatocytes</w:t>
      </w:r>
      <w:r w:rsidR="00DD18C4" w:rsidRPr="00391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D18C4" w:rsidRPr="003910CA">
        <w:rPr>
          <w:rFonts w:ascii="Times New Roman" w:hAnsi="Times New Roman" w:cs="Times New Roman"/>
          <w:sz w:val="24"/>
          <w:szCs w:val="24"/>
        </w:rPr>
        <w:t xml:space="preserve">Briefly, cells were treated for 24 to different concentrations of PCA (0, 1, 2.5, 5, 10, 25, 50, and 100 µg/ml). At the end of exposure time, MTT assay was performed to assess the cytotoxicity of PCA in HepG2 cells. Results showed that PCA did not induce cytotoxicity </w:t>
      </w:r>
      <w:r w:rsidR="00555F99">
        <w:rPr>
          <w:rFonts w:ascii="Times New Roman" w:hAnsi="Times New Roman" w:cs="Times New Roman"/>
          <w:sz w:val="24"/>
          <w:szCs w:val="24"/>
        </w:rPr>
        <w:t>in both types of cells</w:t>
      </w:r>
      <w:r w:rsidR="00DD18C4" w:rsidRPr="003910CA">
        <w:rPr>
          <w:rFonts w:ascii="Times New Roman" w:hAnsi="Times New Roman" w:cs="Times New Roman"/>
          <w:sz w:val="24"/>
          <w:szCs w:val="24"/>
        </w:rPr>
        <w:t xml:space="preserve">. </w:t>
      </w:r>
      <w:r w:rsidR="00DD18C4" w:rsidRPr="00BC2C23">
        <w:rPr>
          <w:rFonts w:ascii="Times New Roman" w:hAnsi="Times New Roman" w:cs="Times New Roman"/>
          <w:sz w:val="24"/>
          <w:szCs w:val="24"/>
        </w:rPr>
        <w:t xml:space="preserve">Data provided in this study are represented are </w:t>
      </w:r>
      <w:proofErr w:type="spellStart"/>
      <w:r w:rsidR="00DD18C4" w:rsidRPr="00BC2C23">
        <w:rPr>
          <w:rFonts w:ascii="Times New Roman" w:hAnsi="Times New Roman" w:cs="Times New Roman"/>
          <w:sz w:val="24"/>
          <w:szCs w:val="24"/>
        </w:rPr>
        <w:t>mean±SD</w:t>
      </w:r>
      <w:proofErr w:type="spellEnd"/>
      <w:r w:rsidR="00DD18C4" w:rsidRPr="00BC2C23">
        <w:rPr>
          <w:rFonts w:ascii="Times New Roman" w:hAnsi="Times New Roman" w:cs="Times New Roman"/>
          <w:sz w:val="24"/>
          <w:szCs w:val="24"/>
        </w:rPr>
        <w:t xml:space="preserve"> of five identical exper</w:t>
      </w:r>
      <w:r w:rsidR="00555F99" w:rsidRPr="00BC2C23">
        <w:rPr>
          <w:rFonts w:ascii="Times New Roman" w:hAnsi="Times New Roman" w:cs="Times New Roman"/>
          <w:sz w:val="24"/>
          <w:szCs w:val="24"/>
        </w:rPr>
        <w:t>iments (n=5)</w:t>
      </w:r>
      <w:r w:rsidR="00DD18C4" w:rsidRPr="00BC2C23">
        <w:rPr>
          <w:rFonts w:ascii="Times New Roman" w:hAnsi="Times New Roman" w:cs="Times New Roman"/>
          <w:sz w:val="24"/>
          <w:szCs w:val="24"/>
        </w:rPr>
        <w:t>.</w:t>
      </w:r>
    </w:p>
    <w:p w:rsidR="008C7DE1" w:rsidRDefault="00906576" w:rsidP="008C7DE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pict>
          <v:shape id="_x0000_i1026" type="#_x0000_t75" style="width:403.5pt;height:151.5pt;mso-position-horizontal-relative:char;mso-position-vertical-relative:line">
            <v:imagedata r:id="rId7" o:title=""/>
          </v:shape>
        </w:pict>
      </w:r>
    </w:p>
    <w:p w:rsidR="008C7DE1" w:rsidRPr="008170CE" w:rsidRDefault="00704CB3" w:rsidP="0046483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S2</w:t>
      </w:r>
      <w:r w:rsidR="008C7DE1" w:rsidRPr="003910CA">
        <w:rPr>
          <w:rFonts w:ascii="Times New Roman" w:hAnsi="Times New Roman" w:cs="Times New Roman"/>
          <w:bCs/>
          <w:sz w:val="24"/>
          <w:szCs w:val="24"/>
        </w:rPr>
        <w:t xml:space="preserve">. Dose-dependent cytotoxicity of </w:t>
      </w:r>
      <w:proofErr w:type="spellStart"/>
      <w:r w:rsidR="008C7DE1" w:rsidRPr="003910CA">
        <w:rPr>
          <w:rFonts w:ascii="Times New Roman" w:hAnsi="Times New Roman" w:cs="Times New Roman"/>
          <w:bCs/>
          <w:sz w:val="24"/>
          <w:szCs w:val="24"/>
        </w:rPr>
        <w:t>CuO</w:t>
      </w:r>
      <w:proofErr w:type="spellEnd"/>
      <w:r w:rsidR="008C7DE1" w:rsidRPr="003910CA">
        <w:rPr>
          <w:rFonts w:ascii="Times New Roman" w:hAnsi="Times New Roman" w:cs="Times New Roman"/>
          <w:bCs/>
          <w:sz w:val="24"/>
          <w:szCs w:val="24"/>
        </w:rPr>
        <w:t xml:space="preserve"> NPs in HepG2 cells</w:t>
      </w:r>
      <w:r w:rsidR="00555F99">
        <w:rPr>
          <w:rFonts w:ascii="Times New Roman" w:hAnsi="Times New Roman" w:cs="Times New Roman"/>
          <w:bCs/>
          <w:sz w:val="24"/>
          <w:szCs w:val="24"/>
        </w:rPr>
        <w:t xml:space="preserve"> and primary rat hepatocytes</w:t>
      </w:r>
      <w:r w:rsidR="008C7DE1" w:rsidRPr="003910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C7DE1" w:rsidRPr="003910CA">
        <w:rPr>
          <w:rFonts w:ascii="Times New Roman" w:hAnsi="Times New Roman" w:cs="Times New Roman"/>
          <w:sz w:val="24"/>
          <w:szCs w:val="24"/>
        </w:rPr>
        <w:t xml:space="preserve">Briefly, cells were treated for 24 to different concentrations of </w:t>
      </w:r>
      <w:proofErr w:type="spellStart"/>
      <w:r w:rsidR="008C7DE1" w:rsidRPr="003910CA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="008C7DE1" w:rsidRPr="003910CA">
        <w:rPr>
          <w:rFonts w:ascii="Times New Roman" w:hAnsi="Times New Roman" w:cs="Times New Roman"/>
          <w:sz w:val="24"/>
          <w:szCs w:val="24"/>
        </w:rPr>
        <w:t xml:space="preserve"> NPs (0, 1, 2.5, 5, 10, 25, 50, and 100 µg/ml). At the end of exposure time, MTT assay was performed to assess the dose-dependent cytotoxicity of </w:t>
      </w:r>
      <w:proofErr w:type="spellStart"/>
      <w:r w:rsidR="008C7DE1" w:rsidRPr="003910CA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="008C7DE1" w:rsidRPr="003910CA">
        <w:rPr>
          <w:rFonts w:ascii="Times New Roman" w:hAnsi="Times New Roman" w:cs="Times New Roman"/>
          <w:sz w:val="24"/>
          <w:szCs w:val="24"/>
        </w:rPr>
        <w:t xml:space="preserve"> NPs. Results showed that </w:t>
      </w:r>
      <w:proofErr w:type="spellStart"/>
      <w:r w:rsidR="008C7DE1" w:rsidRPr="003910CA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="008C7DE1" w:rsidRPr="003910CA">
        <w:rPr>
          <w:rFonts w:ascii="Times New Roman" w:hAnsi="Times New Roman" w:cs="Times New Roman"/>
          <w:sz w:val="24"/>
          <w:szCs w:val="24"/>
        </w:rPr>
        <w:t xml:space="preserve"> NPs induced dose-dependent cytotoxicity in the concentration range of 5-100 µg/ml</w:t>
      </w:r>
      <w:r w:rsidR="00555F99">
        <w:rPr>
          <w:rFonts w:ascii="Times New Roman" w:hAnsi="Times New Roman" w:cs="Times New Roman"/>
          <w:sz w:val="24"/>
          <w:szCs w:val="24"/>
        </w:rPr>
        <w:t xml:space="preserve"> in both types of cells</w:t>
      </w:r>
      <w:r w:rsidR="008C7DE1" w:rsidRPr="003910CA">
        <w:rPr>
          <w:rFonts w:ascii="Times New Roman" w:hAnsi="Times New Roman" w:cs="Times New Roman"/>
          <w:sz w:val="24"/>
          <w:szCs w:val="24"/>
        </w:rPr>
        <w:t xml:space="preserve">. </w:t>
      </w:r>
      <w:r w:rsidR="008C7DE1" w:rsidRPr="00BC2C23">
        <w:rPr>
          <w:rFonts w:ascii="Times New Roman" w:hAnsi="Times New Roman" w:cs="Times New Roman"/>
          <w:sz w:val="24"/>
          <w:szCs w:val="24"/>
        </w:rPr>
        <w:t xml:space="preserve">Data provided in this study are represented are </w:t>
      </w:r>
      <w:proofErr w:type="spellStart"/>
      <w:r w:rsidR="008C7DE1" w:rsidRPr="00BC2C23">
        <w:rPr>
          <w:rFonts w:ascii="Times New Roman" w:hAnsi="Times New Roman" w:cs="Times New Roman"/>
          <w:sz w:val="24"/>
          <w:szCs w:val="24"/>
        </w:rPr>
        <w:t>mean±SD</w:t>
      </w:r>
      <w:proofErr w:type="spellEnd"/>
      <w:r w:rsidR="008C7DE1" w:rsidRPr="00BC2C23">
        <w:rPr>
          <w:rFonts w:ascii="Times New Roman" w:hAnsi="Times New Roman" w:cs="Times New Roman"/>
          <w:sz w:val="24"/>
          <w:szCs w:val="24"/>
        </w:rPr>
        <w:t xml:space="preserve"> of five identical experiments (n=5). *Significantly different from the control (p&lt;0.05).</w:t>
      </w:r>
    </w:p>
    <w:p w:rsidR="00221A99" w:rsidRPr="004B79A1" w:rsidRDefault="00221A99" w:rsidP="008C7DE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06576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shape id="Picture 8" o:spid="_x0000_i1027" type="#_x0000_t75" style="width:444.75pt;height:172.5pt;visibility:visible">
            <v:imagedata r:id="rId8" o:title=""/>
          </v:shape>
        </w:pict>
      </w:r>
    </w:p>
    <w:p w:rsidR="00221A99" w:rsidRDefault="00704CB3" w:rsidP="00280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Figure S3</w:t>
      </w:r>
      <w:r w:rsidR="00221A99" w:rsidRPr="003910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1A99" w:rsidRPr="003910CA">
        <w:rPr>
          <w:rFonts w:ascii="Times New Roman" w:hAnsi="Times New Roman" w:cs="Times New Roman"/>
          <w:sz w:val="24"/>
          <w:szCs w:val="24"/>
        </w:rPr>
        <w:t>IC</w:t>
      </w:r>
      <w:r w:rsidR="00221A99" w:rsidRPr="003910CA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221A99" w:rsidRPr="003910CA">
        <w:rPr>
          <w:rFonts w:ascii="Times New Roman" w:hAnsi="Times New Roman" w:cs="Times New Roman"/>
          <w:sz w:val="24"/>
          <w:szCs w:val="24"/>
        </w:rPr>
        <w:t xml:space="preserve"> graph of </w:t>
      </w:r>
      <w:proofErr w:type="spellStart"/>
      <w:r w:rsidR="00221A99" w:rsidRPr="003910CA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="00221A99" w:rsidRPr="003910CA">
        <w:rPr>
          <w:rFonts w:ascii="Times New Roman" w:hAnsi="Times New Roman" w:cs="Times New Roman"/>
          <w:sz w:val="24"/>
          <w:szCs w:val="24"/>
        </w:rPr>
        <w:t xml:space="preserve"> NPs </w:t>
      </w:r>
      <w:r w:rsidR="00280DCA">
        <w:rPr>
          <w:rFonts w:ascii="Times New Roman" w:hAnsi="Times New Roman" w:cs="Times New Roman"/>
          <w:sz w:val="24"/>
          <w:szCs w:val="24"/>
        </w:rPr>
        <w:t xml:space="preserve">for </w:t>
      </w:r>
      <w:r w:rsidR="00221A99" w:rsidRPr="003910CA">
        <w:rPr>
          <w:rFonts w:ascii="Times New Roman" w:hAnsi="Times New Roman" w:cs="Times New Roman"/>
          <w:sz w:val="24"/>
          <w:szCs w:val="24"/>
        </w:rPr>
        <w:t>HepG2 cells</w:t>
      </w:r>
      <w:r w:rsidR="00280DCA">
        <w:rPr>
          <w:rFonts w:ascii="Times New Roman" w:hAnsi="Times New Roman" w:cs="Times New Roman"/>
          <w:sz w:val="24"/>
          <w:szCs w:val="24"/>
        </w:rPr>
        <w:t xml:space="preserve"> and primary rat hepatocytes</w:t>
      </w:r>
      <w:r w:rsidR="00221A99" w:rsidRPr="003910CA">
        <w:rPr>
          <w:rFonts w:ascii="Times New Roman" w:hAnsi="Times New Roman" w:cs="Times New Roman"/>
          <w:sz w:val="24"/>
          <w:szCs w:val="24"/>
        </w:rPr>
        <w:t xml:space="preserve">. </w:t>
      </w:r>
      <w:r w:rsidR="008C7DE1" w:rsidRPr="003910CA">
        <w:rPr>
          <w:rFonts w:ascii="Times New Roman" w:hAnsi="Times New Roman" w:cs="Times New Roman"/>
          <w:sz w:val="24"/>
          <w:szCs w:val="24"/>
        </w:rPr>
        <w:t xml:space="preserve">Data </w:t>
      </w:r>
      <w:r w:rsidR="00280DCA">
        <w:rPr>
          <w:rFonts w:ascii="Times New Roman" w:hAnsi="Times New Roman" w:cs="Times New Roman"/>
          <w:sz w:val="24"/>
          <w:szCs w:val="24"/>
        </w:rPr>
        <w:t>from f</w:t>
      </w:r>
      <w:r w:rsidR="008C7DE1" w:rsidRPr="003910CA">
        <w:rPr>
          <w:rFonts w:ascii="Times New Roman" w:hAnsi="Times New Roman" w:cs="Times New Roman"/>
          <w:sz w:val="24"/>
          <w:szCs w:val="24"/>
        </w:rPr>
        <w:t>igure</w:t>
      </w:r>
      <w:r w:rsidR="00280DC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S1</w:t>
      </w:r>
      <w:r w:rsidR="008C7DE1" w:rsidRPr="003910CA">
        <w:rPr>
          <w:rFonts w:ascii="Times New Roman" w:hAnsi="Times New Roman" w:cs="Times New Roman"/>
          <w:sz w:val="24"/>
          <w:szCs w:val="24"/>
        </w:rPr>
        <w:t xml:space="preserve"> w</w:t>
      </w:r>
      <w:r w:rsidR="00280DCA">
        <w:rPr>
          <w:rFonts w:ascii="Times New Roman" w:hAnsi="Times New Roman" w:cs="Times New Roman"/>
          <w:sz w:val="24"/>
          <w:szCs w:val="24"/>
        </w:rPr>
        <w:t xml:space="preserve">ere </w:t>
      </w:r>
      <w:r w:rsidR="008C7DE1" w:rsidRPr="003910CA">
        <w:rPr>
          <w:rFonts w:ascii="Times New Roman" w:hAnsi="Times New Roman" w:cs="Times New Roman"/>
          <w:sz w:val="24"/>
          <w:szCs w:val="24"/>
        </w:rPr>
        <w:t>utilized to calculate IC</w:t>
      </w:r>
      <w:r w:rsidR="008C7DE1" w:rsidRPr="00280DCA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8C7DE1" w:rsidRPr="003910CA">
        <w:rPr>
          <w:rFonts w:ascii="Times New Roman" w:hAnsi="Times New Roman" w:cs="Times New Roman"/>
          <w:sz w:val="24"/>
          <w:szCs w:val="24"/>
        </w:rPr>
        <w:t xml:space="preserve"> value of </w:t>
      </w:r>
      <w:proofErr w:type="spellStart"/>
      <w:r w:rsidR="008C7DE1" w:rsidRPr="003910CA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="008C7DE1" w:rsidRPr="003910CA">
        <w:rPr>
          <w:rFonts w:ascii="Times New Roman" w:hAnsi="Times New Roman" w:cs="Times New Roman"/>
          <w:sz w:val="24"/>
          <w:szCs w:val="24"/>
        </w:rPr>
        <w:t xml:space="preserve"> NPs in </w:t>
      </w:r>
      <w:r w:rsidR="00280DCA">
        <w:rPr>
          <w:rFonts w:ascii="Times New Roman" w:hAnsi="Times New Roman" w:cs="Times New Roman"/>
          <w:sz w:val="24"/>
          <w:szCs w:val="24"/>
        </w:rPr>
        <w:t xml:space="preserve">both </w:t>
      </w:r>
      <w:r w:rsidR="008C7DE1" w:rsidRPr="003910CA">
        <w:rPr>
          <w:rFonts w:ascii="Times New Roman" w:hAnsi="Times New Roman" w:cs="Times New Roman"/>
          <w:sz w:val="24"/>
          <w:szCs w:val="24"/>
        </w:rPr>
        <w:t xml:space="preserve">cells. </w:t>
      </w:r>
      <w:r w:rsidR="00221A99" w:rsidRPr="003910CA">
        <w:rPr>
          <w:rFonts w:ascii="Times New Roman" w:hAnsi="Times New Roman" w:cs="Times New Roman"/>
          <w:sz w:val="24"/>
          <w:szCs w:val="24"/>
          <w:shd w:val="clear" w:color="auto" w:fill="FFFFFF"/>
        </w:rPr>
        <w:t>For concentration-dependent cytotoxicity (IC</w:t>
      </w:r>
      <w:r w:rsidR="00221A99" w:rsidRPr="003910CA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50</w:t>
      </w:r>
      <w:r w:rsidR="00221A99" w:rsidRPr="003910CA">
        <w:rPr>
          <w:rFonts w:ascii="Times New Roman" w:hAnsi="Times New Roman" w:cs="Times New Roman"/>
          <w:sz w:val="24"/>
          <w:szCs w:val="24"/>
          <w:shd w:val="clear" w:color="auto" w:fill="FFFFFF"/>
        </w:rPr>
        <w:t>) calculation, a scatter plot in Microsoft Excel was inserted followed by setting the </w:t>
      </w:r>
      <w:r w:rsidR="00221A99" w:rsidRPr="003910CA">
        <w:rPr>
          <w:rStyle w:val="html-italic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Y</w:t>
      </w:r>
      <w:r w:rsidR="00221A99" w:rsidRPr="003910CA">
        <w:rPr>
          <w:rFonts w:ascii="Times New Roman" w:hAnsi="Times New Roman" w:cs="Times New Roman"/>
          <w:sz w:val="24"/>
          <w:szCs w:val="24"/>
          <w:shd w:val="clear" w:color="auto" w:fill="FFFFFF"/>
        </w:rPr>
        <w:t>-axis to logarithmic. Then a trend line was selected and ‘exponential’ picked. Then ‘display equation’ was used in calculating IC</w:t>
      </w:r>
      <w:r w:rsidR="00221A99" w:rsidRPr="003910CA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50</w:t>
      </w:r>
      <w:r w:rsidR="00221A99" w:rsidRPr="003910CA">
        <w:rPr>
          <w:rFonts w:ascii="Times New Roman" w:hAnsi="Times New Roman" w:cs="Times New Roman"/>
          <w:sz w:val="24"/>
          <w:szCs w:val="24"/>
          <w:shd w:val="clear" w:color="auto" w:fill="FFFFFF"/>
        </w:rPr>
        <w:t>. IC</w:t>
      </w:r>
      <w:r w:rsidR="00221A99" w:rsidRPr="003910CA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50</w:t>
      </w:r>
      <w:r w:rsidR="00221A99" w:rsidRPr="003910CA">
        <w:rPr>
          <w:rFonts w:ascii="Times New Roman" w:hAnsi="Times New Roman" w:cs="Times New Roman"/>
          <w:sz w:val="24"/>
          <w:szCs w:val="24"/>
          <w:shd w:val="clear" w:color="auto" w:fill="FFFFFF"/>
        </w:rPr>
        <w:t> calculations were further verified and confirmed from the online IC</w:t>
      </w:r>
      <w:r w:rsidR="00221A99" w:rsidRPr="003910CA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50</w:t>
      </w:r>
      <w:r w:rsidR="00221A99" w:rsidRPr="00391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calculator </w:t>
      </w:r>
      <w:r w:rsidR="00221A99" w:rsidRPr="00F451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hyperlink r:id="rId9" w:tgtFrame="_blank" w:history="1">
        <w:r w:rsidR="00221A99" w:rsidRPr="00F4519C">
          <w:rPr>
            <w:rStyle w:val="Hyperlink"/>
            <w:rFonts w:ascii="Times New Roman" w:hAnsi="Times New Roman" w:cs="Times New Roman"/>
            <w:b/>
            <w:bCs/>
            <w:color w:val="3156A2"/>
            <w:sz w:val="24"/>
            <w:szCs w:val="24"/>
            <w:shd w:val="clear" w:color="auto" w:fill="FFFFFF"/>
          </w:rPr>
          <w:t>https://www.aatbio.com/tools/ic50-calculator</w:t>
        </w:r>
      </w:hyperlink>
      <w:r w:rsidR="00221A99" w:rsidRPr="00F4519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r w:rsidR="00221A99" w:rsidRPr="003910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provided by AAT </w:t>
      </w:r>
      <w:proofErr w:type="spellStart"/>
      <w:r w:rsidR="00221A99" w:rsidRPr="003910CA">
        <w:rPr>
          <w:rFonts w:ascii="Times New Roman" w:hAnsi="Times New Roman" w:cs="Times New Roman"/>
          <w:sz w:val="24"/>
          <w:szCs w:val="24"/>
          <w:shd w:val="clear" w:color="auto" w:fill="FFFFFF"/>
        </w:rPr>
        <w:t>BioQuest</w:t>
      </w:r>
      <w:proofErr w:type="spellEnd"/>
      <w:r w:rsidR="00221A99" w:rsidRPr="003910CA">
        <w:rPr>
          <w:rFonts w:ascii="Times New Roman" w:hAnsi="Times New Roman" w:cs="Times New Roman"/>
          <w:sz w:val="24"/>
          <w:szCs w:val="24"/>
          <w:shd w:val="clear" w:color="auto" w:fill="FFFFFF"/>
        </w:rPr>
        <w:t>, Inc. (CA 94085, USA).</w:t>
      </w:r>
    </w:p>
    <w:p w:rsidR="008C7DE1" w:rsidRDefault="008C7DE1" w:rsidP="008C7D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7DE1" w:rsidRPr="008C7DE1" w:rsidRDefault="008C7DE1" w:rsidP="008C7D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42B7" w:rsidRPr="00BC2C23" w:rsidRDefault="004E42B7" w:rsidP="008C7D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78D6" w:rsidRPr="00BC2C23" w:rsidRDefault="00906576" w:rsidP="008C7D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Picture 9" o:spid="_x0000_i1028" type="#_x0000_t75" style="width:453.75pt;height:151.5pt;visibility:visible">
            <v:imagedata r:id="rId10" o:title=""/>
          </v:shape>
        </w:pict>
      </w:r>
    </w:p>
    <w:p w:rsidR="00242152" w:rsidRPr="00BC2C23" w:rsidRDefault="00242152" w:rsidP="008C7D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BC2C2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CuO</w:t>
      </w:r>
      <w:proofErr w:type="spellEnd"/>
      <w:r w:rsidRPr="00BC2C2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NPs = IC</w:t>
      </w:r>
      <w:r w:rsidRPr="00BC2C2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n-GB"/>
        </w:rPr>
        <w:t>50</w:t>
      </w:r>
    </w:p>
    <w:p w:rsidR="00EA2EDA" w:rsidRPr="00BC2C23" w:rsidRDefault="00EA2EDA" w:rsidP="008C7D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2C2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PCA1 = 1 µg/ml</w:t>
      </w:r>
    </w:p>
    <w:p w:rsidR="00EA2EDA" w:rsidRPr="00BC2C23" w:rsidRDefault="00EA2EDA" w:rsidP="008C7D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2C2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PCA2 = 5 µg/ml</w:t>
      </w:r>
    </w:p>
    <w:p w:rsidR="00EA2EDA" w:rsidRPr="00BC2C23" w:rsidRDefault="00EA2EDA" w:rsidP="008C7D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en-GB"/>
        </w:rPr>
      </w:pPr>
      <w:r w:rsidRPr="00BC2C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en-GB"/>
        </w:rPr>
        <w:t>PCA3 = 10 µg/ml</w:t>
      </w:r>
    </w:p>
    <w:p w:rsidR="00EA2EDA" w:rsidRPr="00BC2C23" w:rsidRDefault="00EA2EDA" w:rsidP="008C7D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2C2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PCA4 = 25 µg/ml</w:t>
      </w:r>
    </w:p>
    <w:p w:rsidR="00EA2EDA" w:rsidRPr="00BC2C23" w:rsidRDefault="00EA2EDA" w:rsidP="008C7D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2C2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PCA5 = 50 µg/ml</w:t>
      </w:r>
    </w:p>
    <w:p w:rsidR="00EA2EDA" w:rsidRPr="00BC2C23" w:rsidRDefault="00EA2EDA" w:rsidP="008C7DE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BC2C2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PCA6 = 100 µg/ml</w:t>
      </w:r>
    </w:p>
    <w:p w:rsidR="00DF532C" w:rsidRPr="00BC2C23" w:rsidRDefault="004E42B7" w:rsidP="00D335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C23">
        <w:rPr>
          <w:rFonts w:ascii="Times New Roman" w:hAnsi="Times New Roman" w:cs="Times New Roman"/>
          <w:b/>
          <w:bCs/>
          <w:sz w:val="24"/>
          <w:szCs w:val="24"/>
        </w:rPr>
        <w:t>Figure S</w:t>
      </w:r>
      <w:r w:rsidR="00704CB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25FD0" w:rsidRPr="00BC2C2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4BC7" w:rsidRPr="00BC2C23">
        <w:rPr>
          <w:rFonts w:ascii="Times New Roman" w:hAnsi="Times New Roman" w:cs="Times New Roman"/>
          <w:sz w:val="24"/>
          <w:szCs w:val="24"/>
        </w:rPr>
        <w:t xml:space="preserve"> </w:t>
      </w:r>
      <w:r w:rsidR="0073144A" w:rsidRPr="00BC2C23">
        <w:rPr>
          <w:rFonts w:ascii="Times New Roman" w:hAnsi="Times New Roman" w:cs="Times New Roman"/>
          <w:sz w:val="24"/>
          <w:szCs w:val="24"/>
        </w:rPr>
        <w:t xml:space="preserve">Cell viability of </w:t>
      </w:r>
      <w:r w:rsidR="00EA2EDA" w:rsidRPr="00BC2C23">
        <w:rPr>
          <w:rFonts w:ascii="Times New Roman" w:hAnsi="Times New Roman" w:cs="Times New Roman"/>
          <w:sz w:val="24"/>
          <w:szCs w:val="24"/>
        </w:rPr>
        <w:t xml:space="preserve">HepG2 cells </w:t>
      </w:r>
      <w:r w:rsidR="00D3359B" w:rsidRPr="00BC2C23">
        <w:rPr>
          <w:rFonts w:ascii="Times New Roman" w:hAnsi="Times New Roman" w:cs="Times New Roman"/>
          <w:sz w:val="24"/>
          <w:szCs w:val="24"/>
        </w:rPr>
        <w:t xml:space="preserve">and primary rat hepatocytes </w:t>
      </w:r>
      <w:r w:rsidR="0073144A" w:rsidRPr="00BC2C23">
        <w:rPr>
          <w:rFonts w:ascii="Times New Roman" w:hAnsi="Times New Roman" w:cs="Times New Roman"/>
          <w:sz w:val="24"/>
          <w:szCs w:val="24"/>
        </w:rPr>
        <w:t xml:space="preserve">after </w:t>
      </w:r>
      <w:r w:rsidR="00D3359B" w:rsidRPr="00BC2C23">
        <w:rPr>
          <w:rFonts w:ascii="Times New Roman" w:hAnsi="Times New Roman" w:cs="Times New Roman"/>
          <w:sz w:val="24"/>
          <w:szCs w:val="24"/>
        </w:rPr>
        <w:t xml:space="preserve">pre-treatment (30 min before) of </w:t>
      </w:r>
      <w:r w:rsidR="00EA2EDA" w:rsidRPr="00BC2C23">
        <w:rPr>
          <w:rFonts w:ascii="Times New Roman" w:hAnsi="Times New Roman" w:cs="Times New Roman"/>
          <w:sz w:val="24"/>
          <w:szCs w:val="24"/>
        </w:rPr>
        <w:t xml:space="preserve">PCA </w:t>
      </w:r>
      <w:r w:rsidR="00D3359B" w:rsidRPr="00BC2C23">
        <w:rPr>
          <w:rFonts w:ascii="Times New Roman" w:hAnsi="Times New Roman" w:cs="Times New Roman"/>
          <w:sz w:val="24"/>
          <w:szCs w:val="24"/>
        </w:rPr>
        <w:t xml:space="preserve">along with </w:t>
      </w:r>
      <w:proofErr w:type="spellStart"/>
      <w:r w:rsidR="00EA2EDA" w:rsidRPr="00BC2C23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="00EA2EDA" w:rsidRPr="00BC2C23">
        <w:rPr>
          <w:rFonts w:ascii="Times New Roman" w:hAnsi="Times New Roman" w:cs="Times New Roman"/>
          <w:sz w:val="24"/>
          <w:szCs w:val="24"/>
        </w:rPr>
        <w:t xml:space="preserve"> NPs for </w:t>
      </w:r>
      <w:r w:rsidR="0073144A" w:rsidRPr="00BC2C23">
        <w:rPr>
          <w:rFonts w:ascii="Times New Roman" w:hAnsi="Times New Roman" w:cs="Times New Roman"/>
          <w:sz w:val="24"/>
          <w:szCs w:val="24"/>
        </w:rPr>
        <w:t xml:space="preserve">24 h. </w:t>
      </w:r>
      <w:r w:rsidR="00EA2EDA" w:rsidRPr="00BC2C23">
        <w:rPr>
          <w:rFonts w:ascii="Times New Roman" w:hAnsi="Times New Roman" w:cs="Times New Roman"/>
          <w:sz w:val="24"/>
          <w:szCs w:val="24"/>
        </w:rPr>
        <w:t xml:space="preserve">Cell viability was determined by MTT assay. </w:t>
      </w:r>
      <w:r w:rsidR="00BF285F" w:rsidRPr="00BC2C23">
        <w:rPr>
          <w:rFonts w:ascii="Times New Roman" w:hAnsi="Times New Roman" w:cs="Times New Roman"/>
          <w:sz w:val="24"/>
          <w:szCs w:val="24"/>
        </w:rPr>
        <w:t xml:space="preserve">Data provided in this study are represented are </w:t>
      </w:r>
      <w:proofErr w:type="spellStart"/>
      <w:r w:rsidR="00BF285F" w:rsidRPr="00BC2C23">
        <w:rPr>
          <w:rFonts w:ascii="Times New Roman" w:hAnsi="Times New Roman" w:cs="Times New Roman"/>
          <w:sz w:val="24"/>
          <w:szCs w:val="24"/>
        </w:rPr>
        <w:t>mean±SD</w:t>
      </w:r>
      <w:proofErr w:type="spellEnd"/>
      <w:r w:rsidR="00BF285F" w:rsidRPr="00BC2C23">
        <w:rPr>
          <w:rFonts w:ascii="Times New Roman" w:hAnsi="Times New Roman" w:cs="Times New Roman"/>
          <w:sz w:val="24"/>
          <w:szCs w:val="24"/>
        </w:rPr>
        <w:t xml:space="preserve"> of </w:t>
      </w:r>
      <w:r w:rsidR="00EA2EDA" w:rsidRPr="00BC2C23">
        <w:rPr>
          <w:rFonts w:ascii="Times New Roman" w:hAnsi="Times New Roman" w:cs="Times New Roman"/>
          <w:sz w:val="24"/>
          <w:szCs w:val="24"/>
        </w:rPr>
        <w:t xml:space="preserve">five </w:t>
      </w:r>
      <w:r w:rsidR="00BF285F" w:rsidRPr="00BC2C23">
        <w:rPr>
          <w:rFonts w:ascii="Times New Roman" w:hAnsi="Times New Roman" w:cs="Times New Roman"/>
          <w:sz w:val="24"/>
          <w:szCs w:val="24"/>
        </w:rPr>
        <w:t>identical experiments</w:t>
      </w:r>
      <w:r w:rsidR="00EA2EDA" w:rsidRPr="00BC2C23">
        <w:rPr>
          <w:rFonts w:ascii="Times New Roman" w:hAnsi="Times New Roman" w:cs="Times New Roman"/>
          <w:sz w:val="24"/>
          <w:szCs w:val="24"/>
        </w:rPr>
        <w:t xml:space="preserve"> (n=5)</w:t>
      </w:r>
      <w:r w:rsidR="0073144A" w:rsidRPr="00BC2C23">
        <w:rPr>
          <w:rFonts w:ascii="Times New Roman" w:hAnsi="Times New Roman" w:cs="Times New Roman"/>
          <w:sz w:val="24"/>
          <w:szCs w:val="24"/>
        </w:rPr>
        <w:t xml:space="preserve">. *Significantly different </w:t>
      </w:r>
      <w:r w:rsidR="00EA2EDA" w:rsidRPr="00BC2C23">
        <w:rPr>
          <w:rFonts w:ascii="Times New Roman" w:hAnsi="Times New Roman" w:cs="Times New Roman"/>
          <w:sz w:val="24"/>
          <w:szCs w:val="24"/>
        </w:rPr>
        <w:t xml:space="preserve">from the </w:t>
      </w:r>
      <w:r w:rsidR="0073144A" w:rsidRPr="00BC2C23">
        <w:rPr>
          <w:rFonts w:ascii="Times New Roman" w:hAnsi="Times New Roman" w:cs="Times New Roman"/>
          <w:sz w:val="24"/>
          <w:szCs w:val="24"/>
        </w:rPr>
        <w:t xml:space="preserve">control (p&lt;0.05). </w:t>
      </w:r>
      <w:r w:rsidRPr="00BC2C23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3910CA" w:rsidRPr="00BC2C23">
        <w:rPr>
          <w:rFonts w:ascii="Times New Roman" w:hAnsi="Times New Roman" w:cs="Times New Roman"/>
          <w:sz w:val="24"/>
          <w:szCs w:val="24"/>
        </w:rPr>
        <w:t>significant</w:t>
      </w:r>
      <w:r w:rsidR="006B37CD" w:rsidRPr="00BC2C23">
        <w:rPr>
          <w:rFonts w:ascii="Times New Roman" w:hAnsi="Times New Roman" w:cs="Times New Roman"/>
          <w:sz w:val="24"/>
          <w:szCs w:val="24"/>
        </w:rPr>
        <w:t xml:space="preserve"> a</w:t>
      </w:r>
      <w:r w:rsidRPr="00BC2C23">
        <w:rPr>
          <w:rFonts w:ascii="Times New Roman" w:hAnsi="Times New Roman" w:cs="Times New Roman"/>
          <w:sz w:val="24"/>
          <w:szCs w:val="24"/>
        </w:rPr>
        <w:t xml:space="preserve">ttenuating effects of </w:t>
      </w:r>
      <w:r w:rsidR="00EA2EDA" w:rsidRPr="00BC2C23">
        <w:rPr>
          <w:rFonts w:ascii="Times New Roman" w:hAnsi="Times New Roman" w:cs="Times New Roman"/>
          <w:sz w:val="24"/>
          <w:szCs w:val="24"/>
        </w:rPr>
        <w:t xml:space="preserve">PCA </w:t>
      </w:r>
      <w:r w:rsidRPr="00BC2C23">
        <w:rPr>
          <w:rFonts w:ascii="Times New Roman" w:hAnsi="Times New Roman" w:cs="Times New Roman"/>
          <w:sz w:val="24"/>
          <w:szCs w:val="24"/>
        </w:rPr>
        <w:t xml:space="preserve">against </w:t>
      </w:r>
      <w:proofErr w:type="spellStart"/>
      <w:r w:rsidR="00EA2EDA" w:rsidRPr="00BC2C23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="00EA2EDA" w:rsidRPr="00BC2C23">
        <w:rPr>
          <w:rFonts w:ascii="Times New Roman" w:hAnsi="Times New Roman" w:cs="Times New Roman"/>
          <w:sz w:val="24"/>
          <w:szCs w:val="24"/>
        </w:rPr>
        <w:t xml:space="preserve"> NPs </w:t>
      </w:r>
      <w:r w:rsidRPr="00BC2C23">
        <w:rPr>
          <w:rFonts w:ascii="Times New Roman" w:hAnsi="Times New Roman" w:cs="Times New Roman"/>
          <w:sz w:val="24"/>
          <w:szCs w:val="24"/>
        </w:rPr>
        <w:t xml:space="preserve">induced cytotoxicity. </w:t>
      </w:r>
    </w:p>
    <w:p w:rsidR="00FA0F8C" w:rsidRPr="00757923" w:rsidRDefault="00704CB3" w:rsidP="007579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Figure S4</w:t>
      </w:r>
      <w:r w:rsidR="008C7DE1" w:rsidRPr="003910CA">
        <w:rPr>
          <w:rFonts w:ascii="Times New Roman" w:hAnsi="Times New Roman" w:cs="Times New Roman"/>
          <w:bCs/>
          <w:sz w:val="24"/>
          <w:szCs w:val="24"/>
        </w:rPr>
        <w:t xml:space="preserve"> demonstrated the mitigating potential </w:t>
      </w:r>
      <w:r w:rsidR="008C7DE1" w:rsidRPr="00BC2C23">
        <w:rPr>
          <w:rFonts w:ascii="Times New Roman" w:hAnsi="Times New Roman" w:cs="Times New Roman"/>
          <w:sz w:val="24"/>
          <w:szCs w:val="24"/>
        </w:rPr>
        <w:t xml:space="preserve">of different concentrations of PCA (1-100 µg/ml) against </w:t>
      </w:r>
      <w:proofErr w:type="spellStart"/>
      <w:r w:rsidR="008C7DE1" w:rsidRPr="00BC2C23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="008C7DE1" w:rsidRPr="00BC2C23">
        <w:rPr>
          <w:rFonts w:ascii="Times New Roman" w:hAnsi="Times New Roman" w:cs="Times New Roman"/>
          <w:sz w:val="24"/>
          <w:szCs w:val="24"/>
        </w:rPr>
        <w:t xml:space="preserve"> NPs (IC</w:t>
      </w:r>
      <w:r w:rsidR="008C7DE1" w:rsidRPr="00BC2C23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8C7DE1" w:rsidRPr="00BC2C23">
        <w:rPr>
          <w:rFonts w:ascii="Times New Roman" w:hAnsi="Times New Roman" w:cs="Times New Roman"/>
          <w:sz w:val="24"/>
          <w:szCs w:val="24"/>
        </w:rPr>
        <w:t>) induced cytotoxicity in HepG2 cells</w:t>
      </w:r>
      <w:r w:rsidR="00D3359B" w:rsidRPr="00BC2C23">
        <w:rPr>
          <w:rFonts w:ascii="Times New Roman" w:hAnsi="Times New Roman" w:cs="Times New Roman"/>
          <w:sz w:val="24"/>
          <w:szCs w:val="24"/>
        </w:rPr>
        <w:t xml:space="preserve"> and primary rat hepatocytes</w:t>
      </w:r>
      <w:r w:rsidR="008C7DE1" w:rsidRPr="00BC2C23">
        <w:rPr>
          <w:rFonts w:ascii="Times New Roman" w:hAnsi="Times New Roman" w:cs="Times New Roman"/>
          <w:sz w:val="24"/>
          <w:szCs w:val="24"/>
        </w:rPr>
        <w:t xml:space="preserve">. We observed that cell viability declined to almost 50% following exposure to </w:t>
      </w:r>
      <w:proofErr w:type="spellStart"/>
      <w:r w:rsidR="008C7DE1" w:rsidRPr="00BC2C23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="008C7DE1" w:rsidRPr="00BC2C23">
        <w:rPr>
          <w:rFonts w:ascii="Times New Roman" w:hAnsi="Times New Roman" w:cs="Times New Roman"/>
          <w:sz w:val="24"/>
          <w:szCs w:val="24"/>
        </w:rPr>
        <w:t xml:space="preserve"> NPs (IC</w:t>
      </w:r>
      <w:r w:rsidR="008C7DE1" w:rsidRPr="00BC2C23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8C7DE1" w:rsidRPr="00BC2C23">
        <w:rPr>
          <w:rFonts w:ascii="Times New Roman" w:hAnsi="Times New Roman" w:cs="Times New Roman"/>
          <w:sz w:val="24"/>
          <w:szCs w:val="24"/>
        </w:rPr>
        <w:t xml:space="preserve">), and treatment with PCA increased the cell viability in a dose-dependent manner in the concentration range of 1-10 µg/ml. Hence, our data suggested that treatment with PCA at the concentration of 10 µg/ml achieved maximum mitigating effect against </w:t>
      </w:r>
      <w:proofErr w:type="spellStart"/>
      <w:r w:rsidR="008C7DE1" w:rsidRPr="00BC2C23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="008C7DE1" w:rsidRPr="00BC2C23">
        <w:rPr>
          <w:rFonts w:ascii="Times New Roman" w:hAnsi="Times New Roman" w:cs="Times New Roman"/>
          <w:sz w:val="24"/>
          <w:szCs w:val="24"/>
        </w:rPr>
        <w:t xml:space="preserve"> NPs (IC50) induced cytotoxicity in </w:t>
      </w:r>
      <w:r w:rsidR="00D3359B" w:rsidRPr="00BC2C23">
        <w:rPr>
          <w:rFonts w:ascii="Times New Roman" w:hAnsi="Times New Roman" w:cs="Times New Roman"/>
          <w:sz w:val="24"/>
          <w:szCs w:val="24"/>
        </w:rPr>
        <w:t>both cells</w:t>
      </w:r>
      <w:r w:rsidR="008C7DE1" w:rsidRPr="00BC2C23">
        <w:rPr>
          <w:rFonts w:ascii="Times New Roman" w:hAnsi="Times New Roman" w:cs="Times New Roman"/>
          <w:sz w:val="24"/>
          <w:szCs w:val="24"/>
        </w:rPr>
        <w:t xml:space="preserve">. Above the concentration of 10 µg/ml of PCA, mitigating effects against </w:t>
      </w:r>
      <w:proofErr w:type="spellStart"/>
      <w:r w:rsidR="008C7DE1" w:rsidRPr="00BC2C23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="008C7DE1" w:rsidRPr="00BC2C23">
        <w:rPr>
          <w:rFonts w:ascii="Times New Roman" w:hAnsi="Times New Roman" w:cs="Times New Roman"/>
          <w:sz w:val="24"/>
          <w:szCs w:val="24"/>
        </w:rPr>
        <w:t xml:space="preserve"> NPs induced toxicity was not much different. This indicated that 10 µg/ml PCA was enough to mitigate IC</w:t>
      </w:r>
      <w:r w:rsidR="008C7DE1" w:rsidRPr="00BC2C23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8C7DE1" w:rsidRPr="00BC2C23">
        <w:rPr>
          <w:rFonts w:ascii="Times New Roman" w:hAnsi="Times New Roman" w:cs="Times New Roman"/>
          <w:sz w:val="24"/>
          <w:szCs w:val="24"/>
        </w:rPr>
        <w:t xml:space="preserve"> toxicity of </w:t>
      </w:r>
      <w:proofErr w:type="spellStart"/>
      <w:r w:rsidR="008C7DE1" w:rsidRPr="00BC2C23">
        <w:rPr>
          <w:rFonts w:ascii="Times New Roman" w:hAnsi="Times New Roman" w:cs="Times New Roman"/>
          <w:sz w:val="24"/>
          <w:szCs w:val="24"/>
        </w:rPr>
        <w:t>CuO</w:t>
      </w:r>
      <w:proofErr w:type="spellEnd"/>
      <w:r w:rsidR="008C7DE1" w:rsidRPr="00BC2C23">
        <w:rPr>
          <w:rFonts w:ascii="Times New Roman" w:hAnsi="Times New Roman" w:cs="Times New Roman"/>
          <w:sz w:val="24"/>
          <w:szCs w:val="24"/>
        </w:rPr>
        <w:t xml:space="preserve"> NPs. Hence, for further co-exposure studies we have selected</w:t>
      </w:r>
      <w:r w:rsidR="00757923">
        <w:rPr>
          <w:rFonts w:ascii="Times New Roman" w:hAnsi="Times New Roman" w:cs="Times New Roman"/>
          <w:sz w:val="24"/>
          <w:szCs w:val="24"/>
        </w:rPr>
        <w:t xml:space="preserve"> 10 µg/ml concentration of PCA.</w:t>
      </w:r>
    </w:p>
    <w:sectPr w:rsidR="00FA0F8C" w:rsidRPr="007579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77A14"/>
    <w:multiLevelType w:val="multilevel"/>
    <w:tmpl w:val="6DBC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390DF8"/>
    <w:multiLevelType w:val="hybridMultilevel"/>
    <w:tmpl w:val="2DE87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436E0"/>
    <w:multiLevelType w:val="hybridMultilevel"/>
    <w:tmpl w:val="D2909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B27C1"/>
    <w:multiLevelType w:val="multilevel"/>
    <w:tmpl w:val="81BC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076ABA"/>
    <w:multiLevelType w:val="multilevel"/>
    <w:tmpl w:val="4E76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A426CB"/>
    <w:multiLevelType w:val="hybridMultilevel"/>
    <w:tmpl w:val="E78A2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5059F"/>
    <w:multiLevelType w:val="multilevel"/>
    <w:tmpl w:val="DB1C4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100_CheckList_XML" w:val="&lt;checkList&gt;_x000d__x000a_  &lt;operatorInfo&gt;_x000d__x000a_    &lt;operatorName&gt;0016131 - U11-PAL-158&lt;/operatorName&gt;_x000d__x000a_    &lt;DateTime&gt;08-02-2023 11:04:47&lt;/DateTime&gt;_x000d__x000a_  &lt;/operatorInfo&gt;_x000d__x000a_  &lt;checklistItemInfo&gt;_x000d__x000a_    &lt;Journal&gt;JKSUS&lt;/Journal&gt;_x000d__x000a_    &lt;Article&gt;102585&lt;/Article&gt;_x000d__x000a_  &lt;/checklistItemInfo&gt;_x000d__x000a_  &lt;checklistCollection&gt;_x000d__x000a_    &lt;checklistitem sequence=&quot;1&quot; status=&quot;Y&quot; Remarks=&quot;&quot;&gt;Match Article title with PTS order and also check PTS remarks&lt;/checklistitem&gt;_x000d__x000a_    &lt;checklistitem sequence=&quot;2&quot; status=&quot;Y&quot; Remarks=&quot;&quot;&gt;PIT/ History Date / Item Group / DocHead&lt;/checklistitem&gt;_x000d__x000a_    &lt;checklistitem sequence=&quot;3&quot; status=&quot;Y&quot; Remarks=&quot;&quot;&gt;Validate all the eMFC comments &amp;amp; Autoedit Points&lt;/checklistitem&gt;_x000d__x000a_    &lt;checklistitem sequence=&quot;4&quot; status=&quot;Y&quot; Remarks=&quot;&quot;&gt;Affiliations Links-Country-Footnotes&lt;/checklistitem&gt;_x000d__x000a_    &lt;checklistitem sequence=&quot;5&quot; status=&quot;Y&quot; Remarks=&quot;&quot;&gt;Corresponding author e-mail/postal address&lt;/checklistitem&gt;_x000d__x000a_    &lt;checklistitem sequence=&quot;6&quot; status=&quot;Y&quot; Remarks=&quot;&quot;&gt;Graphical Abstract/Highlights/Abstract/Keywords&lt;/checklistitem&gt;_x000d__x000a_    &lt;checklistitem sequence=&quot;7&quot; status=&quot;Y&quot; Remarks=&quot;&quot;&gt;Section Levels sequence/Sentence case&lt;/checklistitem&gt;_x000d__x000a_    &lt;checklistitem sequence=&quot;8&quot; status=&quot;Y&quot; Remarks=&quot;&quot;&gt;Spelling (US/UK spell/misspelt words)&lt;/checklistitem&gt;_x000d__x000a_    &lt;checklistitem sequence=&quot;9&quot; status=&quot;Y&quot; Remarks=&quot;&quot;&gt;Equations proofreading/View in UCTool&lt;/checklistitem&gt;_x000d__x000a_    &lt;checklistitem sequence=&quot;10&quot; status=&quot;Y&quot; Remarks=&quot;&quot;&gt;Space missing inbetween words/Spellcheck&lt;/checklistitem&gt;_x000d__x000a_    &lt;checklistitem sequence=&quot;11&quot; status=&quot;Y&quot; Remarks=&quot;&quot;&gt;Acknowledgement(s) and relevant roles&lt;/checklistitem&gt;_x000d__x000a_    &lt;checklistitem sequence=&quot;12&quot; status=&quot;Y&quot; Remarks=&quot;&quot;&gt;FundRef (Sponsor and query texts)&lt;/checklistitem&gt;_x000d__x000a_    &lt;checklistitem sequence=&quot;13&quot; status=&quot;Y&quot; Remarks=&quot;&quot;&gt;Supplementary Tagging, Text and Links&lt;/checklistitem&gt;_x000d__x000a_    &lt;checklistitem sequence=&quot;14&quot; status=&quot;Y&quot; Remarks=&quot;&quot;&gt;Sequential float placement&lt;/checklistitem&gt;_x000d__x000a_    &lt;checklistitem sequence=&quot;15&quot; status=&quot;Y&quot; Remarks=&quot;&quot;&gt;Table Rules/Alignment/View in UCTool&lt;/checklistitem&gt;_x000d__x000a_    &lt;checklistitem sequence=&quot;16&quot; status=&quot;Y&quot; Remarks=&quot;&quot;&gt;Reference Style/other-ref/cross-reference Citations&lt;/checklistitem&gt;_x000d__x000a_    &lt;!--&lt;checklistitem sequence=&quot;17&quot; status=&quot;N&quot;&gt;Author's contribution statement&lt;/checklistitem&gt;--&gt;_x000d__x000a_    &lt;checklistitem sequence=&quot;17&quot; status=&quot;Y&quot; Remarks=&quot;&quot;&gt;Fundref – Check for Scenario queries and match sponsor-id detail present in fund-ref rdf file&lt;/checklistitem&gt;_x000d__x000a_    &lt;checklistitem sequence=&quot;18&quot; status=&quot;Y&quot; Remarks=&quot;&quot;&gt;Check Vtool warning for Other-ref (5% Other-ref is allowed)&lt;/checklistitem&gt;_x000d__x000a_    &lt;checklistitem sequence=&quot;19&quot; status=&quot;Y&quot; Remarks=&quot;&quot;&gt;AMAR Journal – Follow Author for Table alignment&lt;/checklistitem&gt;_x000d__x000a_    &lt;checklistitem sequence=&quot;20&quot; status=&quot;Y&quot; Remarks=&quot;&quot;&gt;Check for CRediT Author Statement&lt;/checklistitem&gt;_x000d__x000a_  &lt;/checklistCollection&gt;_x000d__x000a_&lt;/checkList&gt;"/>
  </w:docVars>
  <w:rsids>
    <w:rsidRoot w:val="003E7B74"/>
    <w:rsid w:val="00037B9A"/>
    <w:rsid w:val="00050356"/>
    <w:rsid w:val="00050E78"/>
    <w:rsid w:val="00055561"/>
    <w:rsid w:val="000B1234"/>
    <w:rsid w:val="000F716F"/>
    <w:rsid w:val="001047FB"/>
    <w:rsid w:val="001126F8"/>
    <w:rsid w:val="00125422"/>
    <w:rsid w:val="00140302"/>
    <w:rsid w:val="00142D3A"/>
    <w:rsid w:val="0018084F"/>
    <w:rsid w:val="00192AA2"/>
    <w:rsid w:val="001C4736"/>
    <w:rsid w:val="001D5B2F"/>
    <w:rsid w:val="001D76EC"/>
    <w:rsid w:val="001E0A62"/>
    <w:rsid w:val="001E4DF9"/>
    <w:rsid w:val="00221A99"/>
    <w:rsid w:val="00222919"/>
    <w:rsid w:val="002346AF"/>
    <w:rsid w:val="00242152"/>
    <w:rsid w:val="00257DC2"/>
    <w:rsid w:val="00264DA4"/>
    <w:rsid w:val="00280DCA"/>
    <w:rsid w:val="00284F54"/>
    <w:rsid w:val="002A1B1E"/>
    <w:rsid w:val="002A1E64"/>
    <w:rsid w:val="002C61FD"/>
    <w:rsid w:val="002D4569"/>
    <w:rsid w:val="003206A5"/>
    <w:rsid w:val="00341D0E"/>
    <w:rsid w:val="003842DD"/>
    <w:rsid w:val="003910CA"/>
    <w:rsid w:val="00392A7E"/>
    <w:rsid w:val="003A78D6"/>
    <w:rsid w:val="003B22BE"/>
    <w:rsid w:val="003D2FC3"/>
    <w:rsid w:val="003E05D4"/>
    <w:rsid w:val="003E7B74"/>
    <w:rsid w:val="003F44DE"/>
    <w:rsid w:val="003F5F57"/>
    <w:rsid w:val="00404D12"/>
    <w:rsid w:val="0042006E"/>
    <w:rsid w:val="00427F30"/>
    <w:rsid w:val="0043113B"/>
    <w:rsid w:val="0046483F"/>
    <w:rsid w:val="00484959"/>
    <w:rsid w:val="004B2D11"/>
    <w:rsid w:val="004B79A1"/>
    <w:rsid w:val="004C045F"/>
    <w:rsid w:val="004E42B7"/>
    <w:rsid w:val="004E4C1F"/>
    <w:rsid w:val="004F08D6"/>
    <w:rsid w:val="004F4BC7"/>
    <w:rsid w:val="004F4ED2"/>
    <w:rsid w:val="00512754"/>
    <w:rsid w:val="00533658"/>
    <w:rsid w:val="00545AFD"/>
    <w:rsid w:val="00555F99"/>
    <w:rsid w:val="00563BEE"/>
    <w:rsid w:val="005773E1"/>
    <w:rsid w:val="00580C8A"/>
    <w:rsid w:val="005C2ABA"/>
    <w:rsid w:val="005D04E1"/>
    <w:rsid w:val="006104D4"/>
    <w:rsid w:val="00616019"/>
    <w:rsid w:val="006265F3"/>
    <w:rsid w:val="006658C9"/>
    <w:rsid w:val="00676011"/>
    <w:rsid w:val="00683D75"/>
    <w:rsid w:val="006937CE"/>
    <w:rsid w:val="006A7233"/>
    <w:rsid w:val="006B37CD"/>
    <w:rsid w:val="006C4468"/>
    <w:rsid w:val="006D0032"/>
    <w:rsid w:val="006D05E5"/>
    <w:rsid w:val="006F7740"/>
    <w:rsid w:val="00704CB3"/>
    <w:rsid w:val="007260DB"/>
    <w:rsid w:val="0073144A"/>
    <w:rsid w:val="00732F61"/>
    <w:rsid w:val="00755044"/>
    <w:rsid w:val="007573D1"/>
    <w:rsid w:val="00757923"/>
    <w:rsid w:val="0077185C"/>
    <w:rsid w:val="00791CCB"/>
    <w:rsid w:val="00797316"/>
    <w:rsid w:val="007B4532"/>
    <w:rsid w:val="007C71E3"/>
    <w:rsid w:val="008170CE"/>
    <w:rsid w:val="008264EF"/>
    <w:rsid w:val="00835C2E"/>
    <w:rsid w:val="00837572"/>
    <w:rsid w:val="00847239"/>
    <w:rsid w:val="008573F8"/>
    <w:rsid w:val="00874758"/>
    <w:rsid w:val="00877EF6"/>
    <w:rsid w:val="00885289"/>
    <w:rsid w:val="008B1E3D"/>
    <w:rsid w:val="008B46D9"/>
    <w:rsid w:val="008C1889"/>
    <w:rsid w:val="008C7DE1"/>
    <w:rsid w:val="008D2C37"/>
    <w:rsid w:val="008D3F5F"/>
    <w:rsid w:val="008E4F42"/>
    <w:rsid w:val="008E5A69"/>
    <w:rsid w:val="008F2435"/>
    <w:rsid w:val="00902275"/>
    <w:rsid w:val="00904341"/>
    <w:rsid w:val="00906576"/>
    <w:rsid w:val="00925FD0"/>
    <w:rsid w:val="0095121A"/>
    <w:rsid w:val="009524B7"/>
    <w:rsid w:val="00957780"/>
    <w:rsid w:val="009734A0"/>
    <w:rsid w:val="00993D07"/>
    <w:rsid w:val="009A4871"/>
    <w:rsid w:val="009D1B51"/>
    <w:rsid w:val="009F652B"/>
    <w:rsid w:val="00A11639"/>
    <w:rsid w:val="00A17D1B"/>
    <w:rsid w:val="00A53824"/>
    <w:rsid w:val="00A64792"/>
    <w:rsid w:val="00A6619E"/>
    <w:rsid w:val="00A82E84"/>
    <w:rsid w:val="00A8481B"/>
    <w:rsid w:val="00A87CC2"/>
    <w:rsid w:val="00A948C6"/>
    <w:rsid w:val="00AC703D"/>
    <w:rsid w:val="00B13AF1"/>
    <w:rsid w:val="00B14466"/>
    <w:rsid w:val="00B14EBA"/>
    <w:rsid w:val="00B179F0"/>
    <w:rsid w:val="00B377D7"/>
    <w:rsid w:val="00B43603"/>
    <w:rsid w:val="00B65119"/>
    <w:rsid w:val="00B72446"/>
    <w:rsid w:val="00BA64BC"/>
    <w:rsid w:val="00BC2C23"/>
    <w:rsid w:val="00BC4BB5"/>
    <w:rsid w:val="00BF13FD"/>
    <w:rsid w:val="00BF285F"/>
    <w:rsid w:val="00BF2AF0"/>
    <w:rsid w:val="00C01C81"/>
    <w:rsid w:val="00C06518"/>
    <w:rsid w:val="00C17942"/>
    <w:rsid w:val="00C41218"/>
    <w:rsid w:val="00C57984"/>
    <w:rsid w:val="00C73A26"/>
    <w:rsid w:val="00C74C81"/>
    <w:rsid w:val="00C819E1"/>
    <w:rsid w:val="00C85D4D"/>
    <w:rsid w:val="00C94199"/>
    <w:rsid w:val="00CB0742"/>
    <w:rsid w:val="00CB0869"/>
    <w:rsid w:val="00CB3A82"/>
    <w:rsid w:val="00CC0825"/>
    <w:rsid w:val="00CC2130"/>
    <w:rsid w:val="00CC354F"/>
    <w:rsid w:val="00CF1701"/>
    <w:rsid w:val="00CF7EA4"/>
    <w:rsid w:val="00D272C3"/>
    <w:rsid w:val="00D3359B"/>
    <w:rsid w:val="00D35B60"/>
    <w:rsid w:val="00D41057"/>
    <w:rsid w:val="00D75337"/>
    <w:rsid w:val="00D9324D"/>
    <w:rsid w:val="00DA4316"/>
    <w:rsid w:val="00DB2E1A"/>
    <w:rsid w:val="00DB62FE"/>
    <w:rsid w:val="00DD18C4"/>
    <w:rsid w:val="00DE051E"/>
    <w:rsid w:val="00DF532C"/>
    <w:rsid w:val="00E30999"/>
    <w:rsid w:val="00E44FAE"/>
    <w:rsid w:val="00E46AED"/>
    <w:rsid w:val="00E63BBB"/>
    <w:rsid w:val="00E66FA0"/>
    <w:rsid w:val="00E72DEB"/>
    <w:rsid w:val="00E831A2"/>
    <w:rsid w:val="00E83452"/>
    <w:rsid w:val="00E8681F"/>
    <w:rsid w:val="00E87DCC"/>
    <w:rsid w:val="00E927DA"/>
    <w:rsid w:val="00E96467"/>
    <w:rsid w:val="00EA25C9"/>
    <w:rsid w:val="00EA2EDA"/>
    <w:rsid w:val="00EA4465"/>
    <w:rsid w:val="00EC2B08"/>
    <w:rsid w:val="00EE14B9"/>
    <w:rsid w:val="00EE557F"/>
    <w:rsid w:val="00F04FE0"/>
    <w:rsid w:val="00F46A9F"/>
    <w:rsid w:val="00F4725A"/>
    <w:rsid w:val="00F65C53"/>
    <w:rsid w:val="00F75704"/>
    <w:rsid w:val="00F834A5"/>
    <w:rsid w:val="00F922CF"/>
    <w:rsid w:val="00FA0F8C"/>
    <w:rsid w:val="00F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45A8DC44-98C9-46DB-8836-81EA041C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D0E"/>
    <w:pPr>
      <w:spacing w:after="160" w:line="259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BC4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1D0E"/>
    <w:rPr>
      <w:color w:val="0000FF"/>
      <w:u w:val="single"/>
    </w:rPr>
  </w:style>
  <w:style w:type="paragraph" w:customStyle="1" w:styleId="MDPI14history">
    <w:name w:val="MDPI_1.4_history"/>
    <w:basedOn w:val="Normal"/>
    <w:next w:val="Normal"/>
    <w:qFormat/>
    <w:rsid w:val="00341D0E"/>
    <w:pPr>
      <w:adjustRightInd w:val="0"/>
      <w:snapToGrid w:val="0"/>
      <w:spacing w:before="120" w:after="0" w:line="200" w:lineRule="atLeast"/>
      <w:ind w:left="113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41D0E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A53824"/>
    <w:pPr>
      <w:spacing w:after="24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itleChar">
    <w:name w:val="Title Char"/>
    <w:link w:val="Title"/>
    <w:uiPriority w:val="99"/>
    <w:rsid w:val="00A53824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FollowedHyperlink">
    <w:name w:val="FollowedHyperlink"/>
    <w:uiPriority w:val="99"/>
    <w:semiHidden/>
    <w:unhideWhenUsed/>
    <w:rsid w:val="00CF7EA4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1E4D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C17942"/>
    <w:rPr>
      <w:i/>
      <w:iCs/>
    </w:rPr>
  </w:style>
  <w:style w:type="character" w:customStyle="1" w:styleId="Heading1Char">
    <w:name w:val="Heading 1 Char"/>
    <w:link w:val="Heading1"/>
    <w:uiPriority w:val="9"/>
    <w:rsid w:val="00BC4BB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MDPI12title">
    <w:name w:val="MDPI_1.2_title"/>
    <w:next w:val="MDPI13authornames"/>
    <w:qFormat/>
    <w:rsid w:val="00427F30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lang w:val="en-US" w:eastAsia="de-DE" w:bidi="en-US"/>
    </w:rPr>
  </w:style>
  <w:style w:type="paragraph" w:customStyle="1" w:styleId="MDPI13authornames">
    <w:name w:val="MDPI_1.3_authornames"/>
    <w:basedOn w:val="Normal"/>
    <w:next w:val="MDPI14history"/>
    <w:qFormat/>
    <w:rsid w:val="00427F30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basedOn w:val="Normal"/>
    <w:qFormat/>
    <w:rsid w:val="00427F30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character" w:customStyle="1" w:styleId="hlfld-title">
    <w:name w:val="hlfld-title"/>
    <w:basedOn w:val="DefaultParagraphFont"/>
    <w:rsid w:val="00D75337"/>
  </w:style>
  <w:style w:type="character" w:customStyle="1" w:styleId="hlfld-contribauthor">
    <w:name w:val="hlfld-contribauthor"/>
    <w:basedOn w:val="DefaultParagraphFont"/>
    <w:rsid w:val="00D75337"/>
  </w:style>
  <w:style w:type="character" w:customStyle="1" w:styleId="comma-separator">
    <w:name w:val="comma-separator"/>
    <w:basedOn w:val="DefaultParagraphFont"/>
    <w:rsid w:val="00D75337"/>
  </w:style>
  <w:style w:type="character" w:customStyle="1" w:styleId="author-xref-symbol">
    <w:name w:val="author-xref-symbol"/>
    <w:basedOn w:val="DefaultParagraphFont"/>
    <w:rsid w:val="00D75337"/>
  </w:style>
  <w:style w:type="character" w:customStyle="1" w:styleId="cit-title">
    <w:name w:val="cit-title"/>
    <w:basedOn w:val="DefaultParagraphFont"/>
    <w:rsid w:val="00D75337"/>
  </w:style>
  <w:style w:type="character" w:customStyle="1" w:styleId="cit-year-info">
    <w:name w:val="cit-year-info"/>
    <w:basedOn w:val="DefaultParagraphFont"/>
    <w:rsid w:val="00D75337"/>
  </w:style>
  <w:style w:type="character" w:customStyle="1" w:styleId="cit-volume">
    <w:name w:val="cit-volume"/>
    <w:basedOn w:val="DefaultParagraphFont"/>
    <w:rsid w:val="00D75337"/>
  </w:style>
  <w:style w:type="character" w:customStyle="1" w:styleId="cit-issue">
    <w:name w:val="cit-issue"/>
    <w:basedOn w:val="DefaultParagraphFont"/>
    <w:rsid w:val="00D75337"/>
  </w:style>
  <w:style w:type="character" w:customStyle="1" w:styleId="cit-pagerange">
    <w:name w:val="cit-pagerange"/>
    <w:basedOn w:val="DefaultParagraphFont"/>
    <w:rsid w:val="00D75337"/>
  </w:style>
  <w:style w:type="character" w:customStyle="1" w:styleId="pub-date">
    <w:name w:val="pub-date"/>
    <w:basedOn w:val="DefaultParagraphFont"/>
    <w:rsid w:val="00D75337"/>
  </w:style>
  <w:style w:type="character" w:customStyle="1" w:styleId="date-separator">
    <w:name w:val="date-separator"/>
    <w:basedOn w:val="DefaultParagraphFont"/>
    <w:rsid w:val="00D75337"/>
  </w:style>
  <w:style w:type="character" w:customStyle="1" w:styleId="pub-date-value">
    <w:name w:val="pub-date-value"/>
    <w:basedOn w:val="DefaultParagraphFont"/>
    <w:rsid w:val="00D75337"/>
  </w:style>
  <w:style w:type="character" w:customStyle="1" w:styleId="html-italic">
    <w:name w:val="html-italic"/>
    <w:basedOn w:val="DefaultParagraphFont"/>
    <w:rsid w:val="00221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aatbio.com/tools/ic50-calcul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BA938-AD25-444F-87DE-D4957379A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5963</CharactersWithSpaces>
  <SharedDoc>false</SharedDoc>
  <HLinks>
    <vt:vector size="6" baseType="variant">
      <vt:variant>
        <vt:i4>5963865</vt:i4>
      </vt:variant>
      <vt:variant>
        <vt:i4>6</vt:i4>
      </vt:variant>
      <vt:variant>
        <vt:i4>0</vt:i4>
      </vt:variant>
      <vt:variant>
        <vt:i4>5</vt:i4>
      </vt:variant>
      <vt:variant>
        <vt:lpwstr>https://www.aatbio.com/tools/ic50-calculator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Maqusood Ahamed</dc:creator>
  <cp:keywords/>
  <dc:description/>
  <cp:lastModifiedBy>Paul S.</cp:lastModifiedBy>
  <cp:revision>3</cp:revision>
  <cp:lastPrinted>2020-07-15T08:01:00Z</cp:lastPrinted>
  <dcterms:created xsi:type="dcterms:W3CDTF">2023-02-08T05:58:00Z</dcterms:created>
  <dcterms:modified xsi:type="dcterms:W3CDTF">2023-02-08T16:37:00Z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http://www.zotero.org/styles/apa-6th-edition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http://www.zotero.org/styles/environmental-science-and-pollution-research</vt:lpwstr>
  </property>
  <property fmtid="{D5CDD505-2E9C-101B-9397-08002B2CF9AE}" pid="13" name="Mendeley Recent Style Name 5_1">
    <vt:lpwstr>Environmental Science and Pollution Research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