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7AF" w:rsidRDefault="004247AF" w:rsidP="0027607D">
      <w:pPr>
        <w:pStyle w:val="Articletitle"/>
        <w:spacing w:after="0" w:line="480" w:lineRule="auto"/>
      </w:pPr>
      <w:r>
        <w:t>Supplementary Materials for</w:t>
      </w:r>
    </w:p>
    <w:p w:rsidR="0027607D" w:rsidRDefault="0027607D" w:rsidP="0027607D">
      <w:pPr>
        <w:autoSpaceDE w:val="0"/>
        <w:autoSpaceDN w:val="0"/>
        <w:adjustRightInd w:val="0"/>
        <w:spacing w:after="0" w:line="480" w:lineRule="auto"/>
        <w:ind w:right="6"/>
        <w:rPr>
          <w:rFonts w:asciiTheme="majorBidi" w:hAnsiTheme="majorBidi" w:cstheme="majorBidi"/>
          <w:b/>
          <w:bCs/>
          <w:sz w:val="28"/>
          <w:szCs w:val="28"/>
        </w:rPr>
      </w:pPr>
    </w:p>
    <w:p w:rsidR="002E10E0" w:rsidRPr="00B13A44" w:rsidRDefault="002E10E0" w:rsidP="0027607D">
      <w:pPr>
        <w:autoSpaceDE w:val="0"/>
        <w:autoSpaceDN w:val="0"/>
        <w:adjustRightInd w:val="0"/>
        <w:spacing w:after="0" w:line="480" w:lineRule="auto"/>
        <w:ind w:right="6"/>
        <w:rPr>
          <w:rFonts w:asciiTheme="majorBidi" w:hAnsiTheme="majorBidi" w:cstheme="majorBidi"/>
          <w:b/>
          <w:bCs/>
          <w:strike/>
          <w:sz w:val="28"/>
          <w:szCs w:val="28"/>
        </w:rPr>
      </w:pPr>
      <w:r w:rsidRPr="00B13A44">
        <w:rPr>
          <w:rFonts w:asciiTheme="majorBidi" w:hAnsiTheme="majorBidi" w:cstheme="majorBidi"/>
          <w:b/>
          <w:bCs/>
          <w:sz w:val="28"/>
          <w:szCs w:val="28"/>
        </w:rPr>
        <w:t xml:space="preserve">Essential Oils from Wild </w:t>
      </w:r>
      <w:r w:rsidRPr="00B13A44">
        <w:rPr>
          <w:rFonts w:asciiTheme="majorBidi" w:hAnsiTheme="majorBidi" w:cstheme="majorBidi"/>
          <w:b/>
          <w:bCs/>
          <w:i/>
          <w:iCs/>
          <w:sz w:val="28"/>
          <w:szCs w:val="28"/>
        </w:rPr>
        <w:t>Mentha longifolia</w:t>
      </w:r>
      <w:r w:rsidRPr="00B13A44">
        <w:rPr>
          <w:rFonts w:asciiTheme="majorBidi" w:hAnsiTheme="majorBidi" w:cstheme="majorBidi"/>
          <w:b/>
          <w:bCs/>
          <w:sz w:val="28"/>
          <w:szCs w:val="28"/>
        </w:rPr>
        <w:t xml:space="preserve"> subspecies </w:t>
      </w:r>
      <w:r w:rsidRPr="00B13A44">
        <w:rPr>
          <w:rFonts w:asciiTheme="majorBidi" w:hAnsiTheme="majorBidi" w:cstheme="majorBidi"/>
          <w:b/>
          <w:bCs/>
          <w:i/>
          <w:iCs/>
          <w:sz w:val="28"/>
          <w:szCs w:val="28"/>
        </w:rPr>
        <w:t>typhoides</w:t>
      </w:r>
      <w:r w:rsidRPr="00B13A44">
        <w:rPr>
          <w:rFonts w:asciiTheme="majorBidi" w:hAnsiTheme="majorBidi" w:cstheme="majorBidi"/>
          <w:b/>
          <w:bCs/>
          <w:sz w:val="28"/>
          <w:szCs w:val="28"/>
        </w:rPr>
        <w:t xml:space="preserve"> and subspecies </w:t>
      </w:r>
      <w:r w:rsidRPr="00B13A44">
        <w:rPr>
          <w:rFonts w:asciiTheme="majorBidi" w:hAnsiTheme="majorBidi" w:cstheme="majorBidi"/>
          <w:b/>
          <w:bCs/>
          <w:i/>
          <w:iCs/>
          <w:sz w:val="28"/>
          <w:szCs w:val="28"/>
        </w:rPr>
        <w:t>s</w:t>
      </w:r>
      <w:r w:rsidR="00DE681B">
        <w:rPr>
          <w:rFonts w:asciiTheme="majorBidi" w:hAnsiTheme="majorBidi" w:cstheme="majorBidi"/>
          <w:b/>
          <w:bCs/>
          <w:i/>
          <w:iCs/>
          <w:sz w:val="28"/>
          <w:szCs w:val="28"/>
        </w:rPr>
        <w:t>c</w:t>
      </w:r>
      <w:r w:rsidRPr="00B13A44">
        <w:rPr>
          <w:rFonts w:asciiTheme="majorBidi" w:hAnsiTheme="majorBidi" w:cstheme="majorBidi"/>
          <w:b/>
          <w:bCs/>
          <w:i/>
          <w:iCs/>
          <w:sz w:val="28"/>
          <w:szCs w:val="28"/>
        </w:rPr>
        <w:t>himperi</w:t>
      </w:r>
      <w:r w:rsidRPr="00B13A44">
        <w:rPr>
          <w:rFonts w:asciiTheme="majorBidi" w:hAnsiTheme="majorBidi" w:cstheme="majorBidi"/>
          <w:b/>
          <w:bCs/>
          <w:sz w:val="28"/>
          <w:szCs w:val="28"/>
        </w:rPr>
        <w:t>: Burn Wound Healing and Antimicrobial Candidates</w:t>
      </w:r>
    </w:p>
    <w:p w:rsidR="0027607D" w:rsidRDefault="0027607D" w:rsidP="0027607D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3222CD" w:rsidRPr="00056DFC" w:rsidRDefault="003222CD" w:rsidP="0027607D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56DFC">
        <w:rPr>
          <w:rFonts w:asciiTheme="majorBidi" w:hAnsiTheme="majorBidi" w:cstheme="majorBidi"/>
          <w:b/>
          <w:bCs/>
          <w:sz w:val="24"/>
          <w:szCs w:val="24"/>
        </w:rPr>
        <w:t>ABSTRACT</w:t>
      </w:r>
    </w:p>
    <w:p w:rsidR="003222CD" w:rsidRPr="00E21528" w:rsidRDefault="003222CD" w:rsidP="00DE681B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trike/>
          <w:sz w:val="24"/>
          <w:szCs w:val="24"/>
        </w:rPr>
      </w:pPr>
      <w:r w:rsidRPr="00E21528">
        <w:rPr>
          <w:rFonts w:asciiTheme="majorBidi" w:hAnsiTheme="majorBidi" w:cstheme="majorBidi"/>
          <w:sz w:val="24"/>
          <w:szCs w:val="24"/>
        </w:rPr>
        <w:t>A comparative study was conducted on the chemical composition of essential oils</w:t>
      </w:r>
      <w:r w:rsidRPr="00E2152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(EOs) from two </w:t>
      </w:r>
      <w:r w:rsidRPr="00E21528">
        <w:rPr>
          <w:rFonts w:asciiTheme="majorBidi" w:hAnsiTheme="majorBidi" w:cstheme="majorBidi"/>
          <w:sz w:val="24"/>
          <w:szCs w:val="24"/>
        </w:rPr>
        <w:t xml:space="preserve">subspecies of </w:t>
      </w:r>
      <w:r w:rsidRPr="00E2152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wild </w:t>
      </w:r>
      <w:r w:rsidRPr="00E21528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Mentha</w:t>
      </w:r>
      <w:r w:rsidRPr="00E21528">
        <w:rPr>
          <w:rFonts w:asciiTheme="majorBidi" w:hAnsiTheme="majorBidi" w:cstheme="majorBidi"/>
          <w:i/>
          <w:iCs/>
          <w:sz w:val="24"/>
          <w:szCs w:val="24"/>
        </w:rPr>
        <w:t xml:space="preserve"> longifolia</w:t>
      </w:r>
      <w:r w:rsidRPr="00E21528">
        <w:rPr>
          <w:rFonts w:asciiTheme="majorBidi" w:hAnsiTheme="majorBidi" w:cstheme="majorBidi"/>
          <w:sz w:val="24"/>
          <w:szCs w:val="24"/>
        </w:rPr>
        <w:t xml:space="preserve"> </w:t>
      </w:r>
      <w:r w:rsidRPr="00E21528">
        <w:rPr>
          <w:rFonts w:asciiTheme="majorBidi" w:hAnsiTheme="majorBidi" w:cstheme="majorBidi"/>
          <w:i/>
          <w:iCs/>
          <w:sz w:val="24"/>
          <w:szCs w:val="24"/>
        </w:rPr>
        <w:t>typhoides</w:t>
      </w:r>
      <w:r w:rsidRPr="00E21528">
        <w:rPr>
          <w:rFonts w:asciiTheme="majorBidi" w:hAnsiTheme="majorBidi" w:cstheme="majorBidi"/>
          <w:sz w:val="24"/>
          <w:szCs w:val="24"/>
        </w:rPr>
        <w:t xml:space="preserve"> and </w:t>
      </w:r>
      <w:r w:rsidRPr="00E21528">
        <w:rPr>
          <w:rFonts w:asciiTheme="majorBidi" w:hAnsiTheme="majorBidi" w:cstheme="majorBidi"/>
          <w:i/>
          <w:iCs/>
          <w:sz w:val="24"/>
          <w:szCs w:val="24"/>
        </w:rPr>
        <w:t>schimperi</w:t>
      </w:r>
      <w:r w:rsidRPr="00E21528">
        <w:rPr>
          <w:rFonts w:asciiTheme="majorBidi" w:hAnsiTheme="majorBidi" w:cstheme="majorBidi"/>
          <w:sz w:val="24"/>
          <w:szCs w:val="24"/>
        </w:rPr>
        <w:t xml:space="preserve">, growing in Egypt, followed by biological investigation of EOs as antibacterial, antiquorum sensing and burn wound healing agents. Gas chromatography/mass spectrometry analysis of hydro-distillated </w:t>
      </w:r>
      <w:r w:rsidRPr="00E2152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EOs </w:t>
      </w:r>
      <w:r>
        <w:rPr>
          <w:rFonts w:asciiTheme="majorBidi" w:hAnsiTheme="majorBidi" w:cstheme="majorBidi"/>
          <w:sz w:val="24"/>
          <w:szCs w:val="24"/>
        </w:rPr>
        <w:t xml:space="preserve">led to </w:t>
      </w:r>
      <w:r w:rsidRPr="00E21528">
        <w:rPr>
          <w:rFonts w:asciiTheme="majorBidi" w:hAnsiTheme="majorBidi" w:cstheme="majorBidi"/>
          <w:sz w:val="24"/>
          <w:szCs w:val="24"/>
        </w:rPr>
        <w:t xml:space="preserve">identification of 99% of oil components. </w:t>
      </w:r>
      <w:r w:rsidRPr="00E21528">
        <w:rPr>
          <w:rFonts w:asciiTheme="majorBidi" w:hAnsiTheme="majorBidi" w:cstheme="majorBidi"/>
          <w:i/>
          <w:iCs/>
          <w:sz w:val="24"/>
          <w:szCs w:val="24"/>
        </w:rPr>
        <w:t>Schimperi</w:t>
      </w:r>
      <w:r w:rsidRPr="00E21528">
        <w:rPr>
          <w:rFonts w:asciiTheme="majorBidi" w:hAnsiTheme="majorBidi" w:cstheme="majorBidi"/>
          <w:sz w:val="24"/>
          <w:szCs w:val="24"/>
        </w:rPr>
        <w:t xml:space="preserve"> oil exhibited antibacterial activity against both Gram-positive and Gram-negative bacteria with MIC values of 156~625 μg/ml, lower than or close to ampi</w:t>
      </w:r>
      <w:r w:rsidR="00DE681B">
        <w:rPr>
          <w:rFonts w:asciiTheme="majorBidi" w:hAnsiTheme="majorBidi" w:cstheme="majorBidi"/>
          <w:sz w:val="24"/>
          <w:szCs w:val="24"/>
        </w:rPr>
        <w:t>cillin</w:t>
      </w:r>
      <w:bookmarkStart w:id="0" w:name="_GoBack"/>
      <w:bookmarkEnd w:id="0"/>
      <w:r w:rsidRPr="00E21528">
        <w:rPr>
          <w:rFonts w:asciiTheme="majorBidi" w:hAnsiTheme="majorBidi" w:cstheme="majorBidi"/>
          <w:sz w:val="24"/>
          <w:szCs w:val="24"/>
        </w:rPr>
        <w:t xml:space="preserve">. The oil from </w:t>
      </w:r>
      <w:r w:rsidRPr="00E21528">
        <w:rPr>
          <w:rFonts w:asciiTheme="majorBidi" w:hAnsiTheme="majorBidi" w:cstheme="majorBidi"/>
          <w:i/>
          <w:iCs/>
          <w:sz w:val="24"/>
          <w:szCs w:val="24"/>
        </w:rPr>
        <w:t>typhoides</w:t>
      </w:r>
      <w:r w:rsidRPr="00E21528">
        <w:rPr>
          <w:rFonts w:asciiTheme="majorBidi" w:hAnsiTheme="majorBidi" w:cstheme="majorBidi"/>
          <w:sz w:val="24"/>
          <w:szCs w:val="24"/>
        </w:rPr>
        <w:t xml:space="preserve"> exhibited a higher antiquorum-sensing effect. The potential of oils to heal burn injuries was assessed by applying the oils in ointment form to second-degree burn injury in mice for 21 days. Interestingly, skin healing activity in group treated with </w:t>
      </w:r>
      <w:r w:rsidRPr="00E21528">
        <w:rPr>
          <w:rFonts w:asciiTheme="majorBidi" w:hAnsiTheme="majorBidi" w:cstheme="majorBidi"/>
          <w:i/>
          <w:iCs/>
          <w:sz w:val="24"/>
          <w:szCs w:val="24"/>
        </w:rPr>
        <w:t>typhoides</w:t>
      </w:r>
      <w:r w:rsidRPr="00E21528">
        <w:rPr>
          <w:rFonts w:asciiTheme="majorBidi" w:hAnsiTheme="majorBidi" w:cstheme="majorBidi"/>
          <w:sz w:val="24"/>
          <w:szCs w:val="24"/>
        </w:rPr>
        <w:t xml:space="preserve"> oil was more effective than that of the positive control (Silver sulfadiazine 1%). These results suggest a promising candidate in the area of burn wound healing therapy.</w:t>
      </w:r>
    </w:p>
    <w:p w:rsidR="003222CD" w:rsidRPr="00E21528" w:rsidRDefault="003222CD" w:rsidP="0027607D">
      <w:pPr>
        <w:pStyle w:val="Keywords"/>
        <w:spacing w:before="0" w:after="0" w:line="480" w:lineRule="auto"/>
        <w:ind w:left="0" w:right="-6"/>
        <w:jc w:val="both"/>
        <w:rPr>
          <w:rFonts w:asciiTheme="majorBidi" w:hAnsiTheme="majorBidi" w:cstheme="majorBidi"/>
          <w:sz w:val="24"/>
        </w:rPr>
      </w:pPr>
      <w:r w:rsidRPr="00E21528">
        <w:rPr>
          <w:rFonts w:asciiTheme="majorBidi" w:hAnsiTheme="majorBidi" w:cstheme="majorBidi"/>
          <w:b/>
          <w:bCs/>
          <w:sz w:val="24"/>
          <w:lang w:val="en-US"/>
        </w:rPr>
        <w:t>Keywords:</w:t>
      </w:r>
      <w:r w:rsidRPr="00E21528">
        <w:rPr>
          <w:rFonts w:asciiTheme="majorBidi" w:hAnsiTheme="majorBidi" w:cstheme="majorBidi"/>
          <w:i/>
          <w:iCs/>
          <w:sz w:val="24"/>
        </w:rPr>
        <w:t xml:space="preserve"> Mentha longifolia</w:t>
      </w:r>
      <w:r w:rsidRPr="00E21528">
        <w:rPr>
          <w:rFonts w:asciiTheme="majorBidi" w:hAnsiTheme="majorBidi" w:cstheme="majorBidi"/>
          <w:sz w:val="24"/>
        </w:rPr>
        <w:t>, Lamiaceae, Essential oils, Burn wound healing activity, Antiquorum-sensing activity, Antimicrobial activity.</w:t>
      </w:r>
    </w:p>
    <w:p w:rsidR="00E92F22" w:rsidRPr="003222CD" w:rsidRDefault="00E92F22" w:rsidP="0027607D">
      <w:pPr>
        <w:spacing w:after="0" w:line="48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27607D" w:rsidRDefault="0027607D" w:rsidP="00767EF2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27607D" w:rsidRDefault="0027607D" w:rsidP="00767EF2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27607D" w:rsidRDefault="0027607D" w:rsidP="00767EF2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BA5659" w:rsidRDefault="00BA5659" w:rsidP="00767EF2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Table </w:t>
      </w:r>
      <w:r w:rsidR="005A557C">
        <w:rPr>
          <w:rFonts w:ascii="Times New Roman" w:hAnsi="Times New Roman"/>
          <w:b/>
          <w:sz w:val="24"/>
          <w:szCs w:val="24"/>
        </w:rPr>
        <w:t>of Contents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7A0" w:firstRow="1" w:lastRow="0" w:firstColumn="1" w:lastColumn="1" w:noHBand="1" w:noVBand="1"/>
      </w:tblPr>
      <w:tblGrid>
        <w:gridCol w:w="1271"/>
        <w:gridCol w:w="6946"/>
        <w:gridCol w:w="1133"/>
      </w:tblGrid>
      <w:tr w:rsidR="00125029" w:rsidRPr="000F7BDA" w:rsidTr="00125029">
        <w:tc>
          <w:tcPr>
            <w:tcW w:w="1271" w:type="dxa"/>
          </w:tcPr>
          <w:p w:rsidR="00125029" w:rsidRPr="000F7BDA" w:rsidRDefault="00125029" w:rsidP="000F7BD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125029" w:rsidRPr="000F7BDA" w:rsidRDefault="00125029" w:rsidP="000F7BD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125029" w:rsidRPr="000F7BDA" w:rsidRDefault="00125029" w:rsidP="000F7BD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BDA">
              <w:rPr>
                <w:rFonts w:ascii="Times New Roman" w:hAnsi="Times New Roman"/>
                <w:sz w:val="24"/>
                <w:szCs w:val="24"/>
              </w:rPr>
              <w:t>Page</w:t>
            </w:r>
          </w:p>
        </w:tc>
      </w:tr>
      <w:tr w:rsidR="00125029" w:rsidRPr="000F7BDA" w:rsidTr="00125029">
        <w:trPr>
          <w:trHeight w:val="312"/>
        </w:trPr>
        <w:tc>
          <w:tcPr>
            <w:tcW w:w="8217" w:type="dxa"/>
            <w:gridSpan w:val="2"/>
          </w:tcPr>
          <w:p w:rsidR="00125029" w:rsidRPr="00B06520" w:rsidRDefault="00125029" w:rsidP="00B06520">
            <w:pPr>
              <w:widowControl w:val="0"/>
              <w:autoSpaceDE w:val="0"/>
              <w:autoSpaceDN w:val="0"/>
              <w:spacing w:after="0" w:line="480" w:lineRule="auto"/>
              <w:jc w:val="both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05F3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xperimental Section</w:t>
            </w:r>
          </w:p>
        </w:tc>
        <w:tc>
          <w:tcPr>
            <w:tcW w:w="1133" w:type="dxa"/>
          </w:tcPr>
          <w:p w:rsidR="00125029" w:rsidRPr="000F7BDA" w:rsidRDefault="00125029" w:rsidP="000F7BD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B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D7BEC" w:rsidRPr="000F7BDA" w:rsidTr="00125029">
        <w:tc>
          <w:tcPr>
            <w:tcW w:w="1271" w:type="dxa"/>
          </w:tcPr>
          <w:p w:rsidR="005D7BEC" w:rsidRDefault="005D7BEC" w:rsidP="005161DD">
            <w:pPr>
              <w:spacing w:before="60" w:after="6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Table 1S:</w:t>
            </w:r>
          </w:p>
        </w:tc>
        <w:tc>
          <w:tcPr>
            <w:tcW w:w="6946" w:type="dxa"/>
          </w:tcPr>
          <w:p w:rsidR="005D7BEC" w:rsidRPr="00982B81" w:rsidRDefault="005D7BEC" w:rsidP="001A255A">
            <w:pPr>
              <w:spacing w:before="60" w:after="6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3" w:type="dxa"/>
          </w:tcPr>
          <w:p w:rsidR="005D7BEC" w:rsidRDefault="00B4287C" w:rsidP="000F7BD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25029" w:rsidRPr="000F7BDA" w:rsidTr="00125029">
        <w:tc>
          <w:tcPr>
            <w:tcW w:w="1271" w:type="dxa"/>
          </w:tcPr>
          <w:p w:rsidR="00125029" w:rsidRPr="00982B81" w:rsidRDefault="00E56012" w:rsidP="005161DD">
            <w:pPr>
              <w:spacing w:before="60" w:after="6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Fig.</w:t>
            </w:r>
            <w:r w:rsidR="00125029" w:rsidRPr="00982B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5161DD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125029" w:rsidRPr="00982B81">
              <w:rPr>
                <w:rFonts w:ascii="Times New Roman" w:hAnsi="Times New Roman"/>
                <w:b/>
                <w:bCs/>
                <w:sz w:val="24"/>
                <w:szCs w:val="24"/>
              </w:rPr>
              <w:t>S.</w:t>
            </w:r>
          </w:p>
        </w:tc>
        <w:tc>
          <w:tcPr>
            <w:tcW w:w="6946" w:type="dxa"/>
          </w:tcPr>
          <w:p w:rsidR="00125029" w:rsidRPr="00982B81" w:rsidRDefault="00125029" w:rsidP="001A255A">
            <w:pPr>
              <w:spacing w:before="60" w:after="6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81">
              <w:rPr>
                <w:rFonts w:ascii="Times New Roman" w:hAnsi="Times New Roman"/>
                <w:b/>
                <w:bCs/>
                <w:sz w:val="24"/>
                <w:szCs w:val="24"/>
              </w:rPr>
              <w:t>The condition of skin burn wounds at the beginning of therapy (3</w:t>
            </w:r>
            <w:r w:rsidRPr="00982B81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rd</w:t>
            </w:r>
            <w:r w:rsidRPr="00982B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day).</w:t>
            </w:r>
          </w:p>
        </w:tc>
        <w:tc>
          <w:tcPr>
            <w:tcW w:w="1133" w:type="dxa"/>
          </w:tcPr>
          <w:p w:rsidR="00125029" w:rsidRPr="000F7BDA" w:rsidRDefault="00B4287C" w:rsidP="000F7BD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25029" w:rsidRPr="000F7BDA" w:rsidTr="00125029">
        <w:tc>
          <w:tcPr>
            <w:tcW w:w="1271" w:type="dxa"/>
          </w:tcPr>
          <w:p w:rsidR="00125029" w:rsidRPr="00982B81" w:rsidRDefault="00E56012" w:rsidP="005161DD">
            <w:pPr>
              <w:spacing w:before="60" w:after="6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Fig.</w:t>
            </w:r>
            <w:r w:rsidR="00125029" w:rsidRPr="00982B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5161DD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125029" w:rsidRPr="00982B81">
              <w:rPr>
                <w:rFonts w:ascii="Times New Roman" w:hAnsi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125029" w:rsidRPr="00982B81" w:rsidRDefault="00125029" w:rsidP="001A255A">
            <w:pPr>
              <w:spacing w:before="60" w:after="6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2B81">
              <w:rPr>
                <w:rFonts w:ascii="Times New Roman" w:hAnsi="Times New Roman"/>
                <w:b/>
                <w:bCs/>
                <w:sz w:val="24"/>
                <w:szCs w:val="24"/>
              </w:rPr>
              <w:t>The condition of skin burn wounds at the end of therapy period (21</w:t>
            </w:r>
            <w:r w:rsidRPr="00982B81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st</w:t>
            </w:r>
            <w:r w:rsidRPr="00982B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day).</w:t>
            </w:r>
          </w:p>
        </w:tc>
        <w:tc>
          <w:tcPr>
            <w:tcW w:w="1133" w:type="dxa"/>
          </w:tcPr>
          <w:p w:rsidR="00125029" w:rsidRPr="000F7BDA" w:rsidRDefault="00B4287C" w:rsidP="000F7BD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41CB" w:rsidRDefault="00CD41CB" w:rsidP="00B06520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84C2E" w:rsidRDefault="008F37EA" w:rsidP="00584C2E">
      <w:pPr>
        <w:shd w:val="clear" w:color="auto" w:fill="FFFFFF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C384A">
        <w:rPr>
          <w:rFonts w:ascii="Times New Roman" w:hAnsi="Times New Roman"/>
          <w:b/>
          <w:bCs/>
          <w:sz w:val="28"/>
          <w:szCs w:val="28"/>
        </w:rPr>
        <w:t>Experimental procedures:</w:t>
      </w:r>
    </w:p>
    <w:p w:rsidR="00EE7BAC" w:rsidRPr="001350A4" w:rsidRDefault="00EE7BAC" w:rsidP="00584C2E">
      <w:pPr>
        <w:shd w:val="clear" w:color="auto" w:fill="FFFFFF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350A4">
        <w:rPr>
          <w:rFonts w:asciiTheme="majorBidi" w:hAnsiTheme="majorBidi" w:cstheme="majorBidi"/>
          <w:b/>
          <w:bCs/>
          <w:i/>
          <w:iCs/>
          <w:sz w:val="24"/>
          <w:szCs w:val="24"/>
        </w:rPr>
        <w:t>Plant material</w:t>
      </w:r>
    </w:p>
    <w:p w:rsidR="00EE7BAC" w:rsidRPr="00B13A44" w:rsidRDefault="00EE7BAC" w:rsidP="001350A4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B13A44">
        <w:rPr>
          <w:rFonts w:asciiTheme="majorBidi" w:hAnsiTheme="majorBidi" w:cstheme="majorBidi"/>
          <w:sz w:val="24"/>
          <w:szCs w:val="24"/>
        </w:rPr>
        <w:t>The aerial parts of wild</w:t>
      </w:r>
      <w:r w:rsidRPr="00B13A44">
        <w:rPr>
          <w:rFonts w:asciiTheme="majorBidi" w:hAnsiTheme="majorBidi" w:cstheme="majorBidi"/>
          <w:i/>
          <w:iCs/>
          <w:sz w:val="24"/>
          <w:szCs w:val="24"/>
        </w:rPr>
        <w:t xml:space="preserve"> M. longifolia</w:t>
      </w:r>
      <w:r w:rsidRPr="00B13A44">
        <w:rPr>
          <w:rFonts w:asciiTheme="majorBidi" w:hAnsiTheme="majorBidi" w:cstheme="majorBidi"/>
          <w:sz w:val="24"/>
          <w:szCs w:val="24"/>
        </w:rPr>
        <w:t xml:space="preserve"> subsp. </w:t>
      </w:r>
      <w:r w:rsidRPr="00B13A44">
        <w:rPr>
          <w:rFonts w:asciiTheme="majorBidi" w:hAnsiTheme="majorBidi" w:cstheme="majorBidi"/>
          <w:i/>
          <w:iCs/>
          <w:sz w:val="24"/>
          <w:szCs w:val="24"/>
          <w:lang w:bidi="ar-EG"/>
        </w:rPr>
        <w:t>typhoides</w:t>
      </w:r>
      <w:r w:rsidRPr="00B13A44">
        <w:rPr>
          <w:rFonts w:asciiTheme="majorBidi" w:hAnsiTheme="majorBidi" w:cstheme="majorBidi"/>
          <w:sz w:val="24"/>
          <w:szCs w:val="24"/>
        </w:rPr>
        <w:t xml:space="preserve"> and subsp. </w:t>
      </w:r>
      <w:r w:rsidRPr="00B13A44">
        <w:rPr>
          <w:rFonts w:asciiTheme="majorBidi" w:hAnsiTheme="majorBidi" w:cstheme="majorBidi"/>
          <w:i/>
          <w:iCs/>
          <w:sz w:val="24"/>
          <w:szCs w:val="24"/>
        </w:rPr>
        <w:t>schimperi</w:t>
      </w:r>
      <w:r w:rsidRPr="00B13A44">
        <w:rPr>
          <w:rFonts w:asciiTheme="majorBidi" w:hAnsiTheme="majorBidi" w:cstheme="majorBidi"/>
          <w:sz w:val="24"/>
          <w:szCs w:val="24"/>
        </w:rPr>
        <w:t xml:space="preserve">, </w:t>
      </w:r>
      <w:r w:rsidRPr="00B13A44">
        <w:rPr>
          <w:rFonts w:asciiTheme="majorBidi" w:hAnsiTheme="majorBidi" w:cstheme="majorBidi"/>
          <w:color w:val="202122"/>
          <w:sz w:val="24"/>
          <w:szCs w:val="24"/>
          <w:shd w:val="clear" w:color="auto" w:fill="FFFFFF"/>
        </w:rPr>
        <w:t>family</w:t>
      </w:r>
      <w:r w:rsidRPr="00B13A4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 Lamiaceae</w:t>
      </w:r>
      <w:r w:rsidRPr="00B13A44">
        <w:rPr>
          <w:rFonts w:asciiTheme="majorBidi" w:hAnsiTheme="majorBidi" w:cstheme="majorBidi"/>
          <w:sz w:val="24"/>
          <w:szCs w:val="24"/>
        </w:rPr>
        <w:t>, were collected</w:t>
      </w:r>
      <w:r>
        <w:rPr>
          <w:rFonts w:asciiTheme="majorBidi" w:hAnsiTheme="majorBidi" w:cstheme="majorBidi"/>
          <w:sz w:val="24"/>
          <w:szCs w:val="24"/>
        </w:rPr>
        <w:t xml:space="preserve"> in</w:t>
      </w:r>
      <w:r w:rsidRPr="00B13A44">
        <w:rPr>
          <w:rFonts w:asciiTheme="majorBidi" w:hAnsiTheme="majorBidi" w:cstheme="majorBidi"/>
          <w:sz w:val="24"/>
          <w:szCs w:val="24"/>
        </w:rPr>
        <w:t xml:space="preserve"> flowering</w:t>
      </w:r>
      <w:r>
        <w:rPr>
          <w:rFonts w:asciiTheme="majorBidi" w:hAnsiTheme="majorBidi" w:cstheme="majorBidi"/>
          <w:sz w:val="24"/>
          <w:szCs w:val="24"/>
        </w:rPr>
        <w:t xml:space="preserve"> stage </w:t>
      </w:r>
      <w:r w:rsidRPr="00B13A44">
        <w:rPr>
          <w:rFonts w:asciiTheme="majorBidi" w:hAnsiTheme="majorBidi" w:cstheme="majorBidi"/>
          <w:sz w:val="24"/>
          <w:szCs w:val="24"/>
        </w:rPr>
        <w:t xml:space="preserve">from Dakhlia, and Ras El-Bar, Egypt in July 2017 and the identity of the plants was confirmed by Prof. Dr. Ibrahim Mashaly; Faculty of Science, Mansoura University. </w:t>
      </w:r>
      <w:r>
        <w:rPr>
          <w:rFonts w:asciiTheme="majorBidi" w:hAnsiTheme="majorBidi" w:cstheme="majorBidi"/>
          <w:sz w:val="24"/>
          <w:szCs w:val="24"/>
        </w:rPr>
        <w:t>The v</w:t>
      </w:r>
      <w:r w:rsidRPr="00B13A44">
        <w:rPr>
          <w:rFonts w:asciiTheme="majorBidi" w:hAnsiTheme="majorBidi" w:cstheme="majorBidi"/>
          <w:sz w:val="24"/>
          <w:szCs w:val="24"/>
        </w:rPr>
        <w:t xml:space="preserve">oucher specimens (AGM485717 and AGM485718, respectively) are deposited </w:t>
      </w:r>
      <w:r>
        <w:rPr>
          <w:rFonts w:asciiTheme="majorBidi" w:hAnsiTheme="majorBidi" w:cstheme="majorBidi"/>
          <w:sz w:val="24"/>
          <w:szCs w:val="24"/>
        </w:rPr>
        <w:t>in the</w:t>
      </w:r>
      <w:r w:rsidRPr="00DB1DA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D</w:t>
      </w:r>
      <w:r w:rsidRPr="00B13A44">
        <w:rPr>
          <w:rFonts w:asciiTheme="majorBidi" w:hAnsiTheme="majorBidi" w:cstheme="majorBidi"/>
          <w:sz w:val="24"/>
          <w:szCs w:val="24"/>
        </w:rPr>
        <w:t>epartment</w:t>
      </w:r>
      <w:r>
        <w:rPr>
          <w:rFonts w:asciiTheme="majorBidi" w:hAnsiTheme="majorBidi" w:cstheme="majorBidi"/>
          <w:sz w:val="24"/>
          <w:szCs w:val="24"/>
        </w:rPr>
        <w:t xml:space="preserve"> of P</w:t>
      </w:r>
      <w:r w:rsidRPr="00B13A44">
        <w:rPr>
          <w:rFonts w:asciiTheme="majorBidi" w:hAnsiTheme="majorBidi" w:cstheme="majorBidi"/>
          <w:sz w:val="24"/>
          <w:szCs w:val="24"/>
        </w:rPr>
        <w:t xml:space="preserve">harmacogonsy, </w:t>
      </w:r>
      <w:r>
        <w:rPr>
          <w:rFonts w:asciiTheme="majorBidi" w:hAnsiTheme="majorBidi" w:cstheme="majorBidi"/>
          <w:sz w:val="24"/>
          <w:szCs w:val="24"/>
        </w:rPr>
        <w:t>F</w:t>
      </w:r>
      <w:r w:rsidRPr="00B13A44">
        <w:rPr>
          <w:rFonts w:asciiTheme="majorBidi" w:hAnsiTheme="majorBidi" w:cstheme="majorBidi"/>
          <w:sz w:val="24"/>
          <w:szCs w:val="24"/>
        </w:rPr>
        <w:t xml:space="preserve">aculty of </w:t>
      </w:r>
      <w:r>
        <w:rPr>
          <w:rFonts w:asciiTheme="majorBidi" w:hAnsiTheme="majorBidi" w:cstheme="majorBidi"/>
          <w:sz w:val="24"/>
          <w:szCs w:val="24"/>
        </w:rPr>
        <w:t>P</w:t>
      </w:r>
      <w:r w:rsidR="001350A4">
        <w:rPr>
          <w:rFonts w:asciiTheme="majorBidi" w:hAnsiTheme="majorBidi" w:cstheme="majorBidi"/>
          <w:sz w:val="24"/>
          <w:szCs w:val="24"/>
        </w:rPr>
        <w:t xml:space="preserve">harmacy, </w:t>
      </w:r>
      <w:r w:rsidRPr="00B13A44">
        <w:rPr>
          <w:rFonts w:asciiTheme="majorBidi" w:hAnsiTheme="majorBidi" w:cstheme="majorBidi"/>
          <w:sz w:val="24"/>
          <w:szCs w:val="24"/>
        </w:rPr>
        <w:t>Mansoura University.</w:t>
      </w:r>
    </w:p>
    <w:p w:rsidR="00EE7BAC" w:rsidRDefault="00EE7BAC">
      <w:pPr>
        <w:shd w:val="clear" w:color="auto" w:fill="FFFFFF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06520" w:rsidRPr="008F37EA" w:rsidRDefault="00B06520">
      <w:pPr>
        <w:shd w:val="clear" w:color="auto" w:fill="FFFFFF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1C1E21"/>
          <w:sz w:val="24"/>
          <w:szCs w:val="24"/>
          <w:shd w:val="clear" w:color="auto" w:fill="FFFFFF"/>
          <w:lang w:bidi="ar-EG"/>
        </w:rPr>
      </w:pPr>
      <w:r w:rsidRPr="008F37EA">
        <w:rPr>
          <w:rFonts w:ascii="Times New Roman" w:hAnsi="Times New Roman"/>
          <w:b/>
          <w:bCs/>
          <w:sz w:val="24"/>
          <w:szCs w:val="24"/>
        </w:rPr>
        <w:t>Analysis of essential oil by gas chromatography</w:t>
      </w:r>
      <w:r w:rsidR="009A7333">
        <w:rPr>
          <w:rFonts w:ascii="Times New Roman" w:hAnsi="Times New Roman"/>
          <w:b/>
          <w:bCs/>
          <w:sz w:val="24"/>
          <w:szCs w:val="24"/>
        </w:rPr>
        <w:t>-</w:t>
      </w:r>
      <w:r w:rsidRPr="008F37EA">
        <w:rPr>
          <w:rFonts w:ascii="Times New Roman" w:hAnsi="Times New Roman"/>
          <w:b/>
          <w:bCs/>
          <w:sz w:val="24"/>
          <w:szCs w:val="24"/>
        </w:rPr>
        <w:t>mass spectrometry</w:t>
      </w:r>
      <w:r w:rsidR="001922FB" w:rsidRPr="008F37EA">
        <w:rPr>
          <w:rFonts w:ascii="Times New Roman" w:hAnsi="Times New Roman"/>
          <w:b/>
          <w:sz w:val="24"/>
          <w:szCs w:val="24"/>
        </w:rPr>
        <w:t xml:space="preserve">: </w:t>
      </w:r>
      <w:r w:rsidRPr="008F37EA">
        <w:rPr>
          <w:rFonts w:ascii="Times New Roman" w:hAnsi="Times New Roman"/>
          <w:color w:val="1C1E21"/>
          <w:sz w:val="24"/>
          <w:szCs w:val="24"/>
          <w:shd w:val="clear" w:color="auto" w:fill="FFFFFF"/>
        </w:rPr>
        <w:t xml:space="preserve">GC/MS analysis was carried out using </w:t>
      </w:r>
      <w:r w:rsidR="009A7333">
        <w:rPr>
          <w:rFonts w:ascii="Times New Roman" w:hAnsi="Times New Roman"/>
          <w:color w:val="1C1E21"/>
          <w:sz w:val="24"/>
          <w:szCs w:val="24"/>
          <w:shd w:val="clear" w:color="auto" w:fill="FFFFFF"/>
        </w:rPr>
        <w:t xml:space="preserve">an </w:t>
      </w:r>
      <w:r w:rsidRPr="008F37EA">
        <w:rPr>
          <w:rFonts w:ascii="Times New Roman" w:hAnsi="Times New Roman"/>
          <w:color w:val="1C1E21"/>
          <w:sz w:val="24"/>
          <w:szCs w:val="24"/>
          <w:shd w:val="clear" w:color="auto" w:fill="FFFFFF"/>
        </w:rPr>
        <w:t>Agilent 19091S-433 system with a mass selective detector. HP-5</w:t>
      </w:r>
      <w:r w:rsidR="00E554B7">
        <w:rPr>
          <w:rFonts w:ascii="Times New Roman" w:hAnsi="Times New Roman"/>
          <w:color w:val="1C1E21"/>
          <w:sz w:val="24"/>
          <w:szCs w:val="24"/>
          <w:shd w:val="clear" w:color="auto" w:fill="FFFFFF"/>
        </w:rPr>
        <w:t xml:space="preserve"> </w:t>
      </w:r>
      <w:r w:rsidRPr="008F37EA">
        <w:rPr>
          <w:rFonts w:ascii="Times New Roman" w:hAnsi="Times New Roman"/>
          <w:color w:val="1C1E21"/>
          <w:sz w:val="24"/>
          <w:szCs w:val="24"/>
          <w:shd w:val="clear" w:color="auto" w:fill="FFFFFF"/>
        </w:rPr>
        <w:t xml:space="preserve">MS capillary column (30 m×0.25 mm, film thickness: 0.25 </w:t>
      </w:r>
      <w:r w:rsidRPr="008F37EA">
        <w:rPr>
          <w:rFonts w:ascii="Times New Roman" w:hAnsi="Times New Roman"/>
          <w:color w:val="1C1E21"/>
          <w:sz w:val="24"/>
          <w:szCs w:val="24"/>
          <w:shd w:val="clear" w:color="auto" w:fill="FFFFFF"/>
        </w:rPr>
        <w:sym w:font="Symbol" w:char="F06D"/>
      </w:r>
      <w:r w:rsidRPr="008F37EA">
        <w:rPr>
          <w:rFonts w:ascii="Times New Roman" w:hAnsi="Times New Roman"/>
          <w:color w:val="1C1E21"/>
          <w:sz w:val="24"/>
          <w:szCs w:val="24"/>
          <w:shd w:val="clear" w:color="auto" w:fill="FFFFFF"/>
        </w:rPr>
        <w:t xml:space="preserve">m); injection mode: splitless; split-flow: 10 ml/min; splitless time: 0.80 min; injector and detector temperature: 250°C; oven temperature was programmed as follows: 60˚C for 2 minutes and then 5˚C/min programmed </w:t>
      </w:r>
      <w:r w:rsidR="009A7333">
        <w:rPr>
          <w:rFonts w:ascii="Times New Roman" w:hAnsi="Times New Roman"/>
          <w:color w:val="1C1E21"/>
          <w:sz w:val="24"/>
          <w:szCs w:val="24"/>
          <w:shd w:val="clear" w:color="auto" w:fill="FFFFFF"/>
        </w:rPr>
        <w:t>at</w:t>
      </w:r>
      <w:r w:rsidR="009A7333" w:rsidRPr="008F37EA">
        <w:rPr>
          <w:rFonts w:ascii="Times New Roman" w:hAnsi="Times New Roman"/>
          <w:color w:val="1C1E21"/>
          <w:sz w:val="24"/>
          <w:szCs w:val="24"/>
          <w:shd w:val="clear" w:color="auto" w:fill="FFFFFF"/>
        </w:rPr>
        <w:t xml:space="preserve"> </w:t>
      </w:r>
      <w:r w:rsidRPr="008F37EA">
        <w:rPr>
          <w:rFonts w:ascii="Times New Roman" w:hAnsi="Times New Roman"/>
          <w:color w:val="1C1E21"/>
          <w:sz w:val="24"/>
          <w:szCs w:val="24"/>
          <w:shd w:val="clear" w:color="auto" w:fill="FFFFFF"/>
        </w:rPr>
        <w:t>240˚C; the carrier gas was helium with a constant flow of 1 mL/min; injection volume: 1 µL of diluted essential oil (1% w/v in CH</w:t>
      </w:r>
      <w:r w:rsidRPr="008F37EA">
        <w:rPr>
          <w:rFonts w:ascii="Times New Roman" w:hAnsi="Times New Roman"/>
          <w:color w:val="1C1E21"/>
          <w:sz w:val="24"/>
          <w:szCs w:val="24"/>
          <w:shd w:val="clear" w:color="auto" w:fill="FFFFFF"/>
          <w:vertAlign w:val="subscript"/>
        </w:rPr>
        <w:t>2</w:t>
      </w:r>
      <w:r w:rsidRPr="008F37EA">
        <w:rPr>
          <w:rFonts w:ascii="Times New Roman" w:hAnsi="Times New Roman"/>
          <w:color w:val="1C1E21"/>
          <w:sz w:val="24"/>
          <w:szCs w:val="24"/>
          <w:shd w:val="clear" w:color="auto" w:fill="FFFFFF"/>
        </w:rPr>
        <w:t>Cl</w:t>
      </w:r>
      <w:r w:rsidRPr="008F37EA">
        <w:rPr>
          <w:rFonts w:ascii="Times New Roman" w:hAnsi="Times New Roman"/>
          <w:color w:val="1C1E21"/>
          <w:sz w:val="24"/>
          <w:szCs w:val="24"/>
          <w:shd w:val="clear" w:color="auto" w:fill="FFFFFF"/>
          <w:vertAlign w:val="subscript"/>
        </w:rPr>
        <w:t>2</w:t>
      </w:r>
      <w:r w:rsidRPr="008F37EA">
        <w:rPr>
          <w:rFonts w:ascii="Times New Roman" w:hAnsi="Times New Roman"/>
          <w:color w:val="1C1E21"/>
          <w:sz w:val="24"/>
          <w:szCs w:val="24"/>
          <w:shd w:val="clear" w:color="auto" w:fill="FFFFFF"/>
        </w:rPr>
        <w:t>).</w:t>
      </w:r>
    </w:p>
    <w:p w:rsidR="00B91D9C" w:rsidRPr="001350A4" w:rsidRDefault="00B91D9C" w:rsidP="00B91D9C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1350A4">
        <w:rPr>
          <w:rFonts w:asciiTheme="majorBidi" w:hAnsiTheme="majorBidi" w:cstheme="majorBidi"/>
          <w:b/>
          <w:bCs/>
          <w:sz w:val="24"/>
          <w:szCs w:val="24"/>
        </w:rPr>
        <w:t>Biological activities of essential oils</w:t>
      </w:r>
    </w:p>
    <w:p w:rsidR="00B91D9C" w:rsidRPr="001350A4" w:rsidRDefault="00B91D9C" w:rsidP="00B91D9C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1350A4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Antimicrobial </w:t>
      </w:r>
      <w:r w:rsidRPr="001350A4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</w:rPr>
        <w:t>assay</w:t>
      </w:r>
    </w:p>
    <w:p w:rsidR="00B91D9C" w:rsidRPr="00B13A44" w:rsidRDefault="00B91D9C" w:rsidP="00B91D9C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>D</w:t>
      </w:r>
      <w:r w:rsidRPr="00B13A44">
        <w:rPr>
          <w:rFonts w:asciiTheme="majorBidi" w:hAnsiTheme="majorBidi" w:cstheme="majorBidi"/>
          <w:color w:val="000000"/>
          <w:sz w:val="24"/>
          <w:szCs w:val="24"/>
        </w:rPr>
        <w:t>istilled essential oils were tested for their antimicrobial activities against Gram-positive bacteria (</w:t>
      </w:r>
      <w:r w:rsidRPr="00B13A44">
        <w:rPr>
          <w:rFonts w:asciiTheme="majorBidi" w:hAnsiTheme="majorBidi" w:cstheme="majorBidi"/>
          <w:i/>
          <w:iCs/>
          <w:color w:val="000000"/>
          <w:sz w:val="24"/>
          <w:szCs w:val="24"/>
        </w:rPr>
        <w:t>Staphylococcus aureus</w:t>
      </w:r>
      <w:r w:rsidRPr="00B13A44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DSM 799 </w:t>
      </w:r>
      <w:r w:rsidRPr="00B13A44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B13A44">
        <w:rPr>
          <w:rFonts w:asciiTheme="majorBidi" w:hAnsiTheme="majorBidi" w:cstheme="majorBidi"/>
          <w:i/>
          <w:iCs/>
          <w:color w:val="000000"/>
          <w:sz w:val="24"/>
          <w:szCs w:val="24"/>
        </w:rPr>
        <w:t>Bacillus cereus</w:t>
      </w:r>
      <w:r w:rsidRPr="00B13A44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ATCC 11778</w:t>
      </w:r>
      <w:r w:rsidRPr="00B13A44">
        <w:rPr>
          <w:rFonts w:asciiTheme="majorBidi" w:hAnsiTheme="majorBidi" w:cstheme="majorBidi"/>
          <w:color w:val="000000"/>
          <w:sz w:val="24"/>
          <w:szCs w:val="24"/>
        </w:rPr>
        <w:t>), Gram-negative bacteria (</w:t>
      </w:r>
      <w:r w:rsidRPr="00B13A44">
        <w:rPr>
          <w:rFonts w:asciiTheme="majorBidi" w:hAnsiTheme="majorBidi" w:cstheme="majorBidi"/>
          <w:i/>
          <w:iCs/>
          <w:color w:val="000000"/>
          <w:sz w:val="24"/>
          <w:szCs w:val="24"/>
        </w:rPr>
        <w:t>Escherichia coli</w:t>
      </w:r>
      <w:r w:rsidRPr="00B13A44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DSM 498 </w:t>
      </w:r>
      <w:r w:rsidRPr="00B13A44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r w:rsidRPr="00B13A44">
        <w:rPr>
          <w:rFonts w:asciiTheme="majorBidi" w:hAnsiTheme="majorBidi" w:cstheme="majorBidi"/>
          <w:i/>
          <w:iCs/>
          <w:color w:val="000000"/>
          <w:sz w:val="24"/>
          <w:szCs w:val="24"/>
        </w:rPr>
        <w:t>Klebsiella pneumoniae</w:t>
      </w:r>
      <w:r w:rsidRPr="00B13A44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DSM 681</w:t>
      </w:r>
      <w:r w:rsidRPr="00B13A44">
        <w:rPr>
          <w:rFonts w:asciiTheme="majorBidi" w:hAnsiTheme="majorBidi" w:cstheme="majorBidi"/>
          <w:color w:val="000000"/>
          <w:sz w:val="24"/>
          <w:szCs w:val="24"/>
        </w:rPr>
        <w:t xml:space="preserve">) and the yeast-like pathogenic fungus </w:t>
      </w:r>
      <w:r w:rsidRPr="00B13A44">
        <w:rPr>
          <w:rFonts w:asciiTheme="majorBidi" w:hAnsiTheme="majorBidi" w:cstheme="majorBidi"/>
          <w:i/>
          <w:iCs/>
          <w:color w:val="000000"/>
          <w:sz w:val="24"/>
          <w:szCs w:val="24"/>
        </w:rPr>
        <w:t>Candida albicans</w:t>
      </w:r>
      <w:r w:rsidRPr="00B13A44">
        <w:rPr>
          <w:rFonts w:asciiTheme="majorBidi" w:hAnsiTheme="majorBidi" w:cstheme="majorBidi"/>
          <w:color w:val="000000"/>
          <w:sz w:val="24"/>
          <w:szCs w:val="24"/>
          <w:lang w:bidi="ar-EG"/>
        </w:rPr>
        <w:t xml:space="preserve"> ATCC 10231 (</w:t>
      </w:r>
      <w:r w:rsidRPr="00B13A44">
        <w:rPr>
          <w:rFonts w:asciiTheme="majorBidi" w:hAnsiTheme="majorBidi" w:cstheme="majorBidi"/>
          <w:color w:val="000000"/>
          <w:sz w:val="24"/>
          <w:szCs w:val="24"/>
        </w:rPr>
        <w:t xml:space="preserve">Leibniz institute DSMZ- German collection of microorganisms and cell cultures GmbH and The American type culture collection – USA). This </w:t>
      </w:r>
      <w:r w:rsidRPr="00B13A44">
        <w:rPr>
          <w:rFonts w:asciiTheme="majorBidi" w:hAnsiTheme="majorBidi" w:cstheme="majorBidi"/>
          <w:color w:val="000000"/>
          <w:sz w:val="24"/>
          <w:szCs w:val="24"/>
        </w:rPr>
        <w:lastRenderedPageBreak/>
        <w:t>activity was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performed</w:t>
      </w:r>
      <w:r w:rsidRPr="00B13A4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at the</w:t>
      </w:r>
      <w:r w:rsidRPr="00B13A44">
        <w:rPr>
          <w:rFonts w:asciiTheme="majorBidi" w:hAnsiTheme="majorBidi" w:cstheme="majorBidi"/>
          <w:color w:val="000000"/>
          <w:sz w:val="24"/>
          <w:szCs w:val="24"/>
        </w:rPr>
        <w:t xml:space="preserve"> Nile Center for Experimental Research (accredited research laboratory). Ampicillin (</w:t>
      </w:r>
      <w:r w:rsidRPr="00B13A44">
        <w:rPr>
          <w:rFonts w:asciiTheme="majorBidi" w:hAnsiTheme="majorBidi" w:cstheme="majorBidi"/>
          <w:color w:val="222222"/>
          <w:sz w:val="24"/>
          <w:szCs w:val="24"/>
        </w:rPr>
        <w:t>69-52-3</w:t>
      </w:r>
      <w:r w:rsidRPr="00B13A44">
        <w:rPr>
          <w:rFonts w:asciiTheme="majorBidi" w:hAnsiTheme="majorBidi" w:cstheme="majorBidi"/>
          <w:color w:val="000000"/>
          <w:sz w:val="24"/>
          <w:szCs w:val="24"/>
        </w:rPr>
        <w:t>, Sigma-Aldrich) and amphotericin B</w:t>
      </w:r>
      <w:r w:rsidRPr="00B13A44">
        <w:rPr>
          <w:rFonts w:asciiTheme="majorBidi" w:hAnsiTheme="majorBidi" w:cstheme="majorBidi"/>
          <w:color w:val="222222"/>
          <w:sz w:val="24"/>
          <w:szCs w:val="24"/>
        </w:rPr>
        <w:t xml:space="preserve"> (1397-89-3, Sigma-Aldrich)</w:t>
      </w:r>
      <w:r w:rsidRPr="00B13A44">
        <w:rPr>
          <w:rFonts w:asciiTheme="majorBidi" w:hAnsiTheme="majorBidi" w:cstheme="majorBidi"/>
          <w:color w:val="000000"/>
          <w:sz w:val="24"/>
          <w:szCs w:val="24"/>
        </w:rPr>
        <w:t xml:space="preserve"> were used as standard materials. </w:t>
      </w:r>
    </w:p>
    <w:p w:rsidR="0031555B" w:rsidRPr="0031555B" w:rsidRDefault="00B06520" w:rsidP="008F37EA">
      <w:pPr>
        <w:widowControl w:val="0"/>
        <w:autoSpaceDE w:val="0"/>
        <w:autoSpaceDN w:val="0"/>
        <w:spacing w:after="0" w:line="480" w:lineRule="auto"/>
        <w:jc w:val="both"/>
        <w:outlineLvl w:val="1"/>
        <w:rPr>
          <w:rFonts w:ascii="Times New Roman" w:hAnsi="Times New Roman"/>
          <w:i/>
          <w:iCs/>
          <w:sz w:val="24"/>
          <w:szCs w:val="24"/>
        </w:rPr>
      </w:pPr>
      <w:r w:rsidRPr="0031555B">
        <w:rPr>
          <w:rFonts w:ascii="Times New Roman" w:hAnsi="Times New Roman"/>
          <w:i/>
          <w:iCs/>
          <w:sz w:val="24"/>
          <w:szCs w:val="24"/>
        </w:rPr>
        <w:t>Determination of Minimum inhibitory concentrations (MICs):</w:t>
      </w:r>
    </w:p>
    <w:p w:rsidR="00F67D80" w:rsidRPr="008F37EA" w:rsidRDefault="00B06520" w:rsidP="00B91D9C">
      <w:pPr>
        <w:widowControl w:val="0"/>
        <w:autoSpaceDE w:val="0"/>
        <w:autoSpaceDN w:val="0"/>
        <w:spacing w:after="0" w:line="48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8F37E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91D9C" w:rsidRPr="00B13A44">
        <w:rPr>
          <w:rFonts w:asciiTheme="majorBidi" w:hAnsiTheme="majorBidi" w:cstheme="majorBidi"/>
          <w:color w:val="000000"/>
          <w:sz w:val="24"/>
          <w:szCs w:val="24"/>
        </w:rPr>
        <w:t>Minimum inhibitory concentrations (MICs) for essential oils were measured in 96-well plates using broth microdilution</w:t>
      </w:r>
      <w:r w:rsidR="00B91D9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B91D9C" w:rsidRPr="00B13A44">
        <w:rPr>
          <w:rFonts w:asciiTheme="majorBidi" w:hAnsiTheme="majorBidi" w:cstheme="majorBidi"/>
          <w:color w:val="000000"/>
          <w:sz w:val="24"/>
          <w:szCs w:val="24"/>
        </w:rPr>
        <w:t xml:space="preserve">method </w:t>
      </w:r>
      <w:r w:rsidR="00B91D9C" w:rsidRPr="007C658F">
        <w:rPr>
          <w:rFonts w:ascii="Pich" w:hAnsi="Pich"/>
          <w:color w:val="000000"/>
          <w:sz w:val="24"/>
          <w:szCs w:val="24"/>
        </w:rPr>
        <w:fldChar w:fldCharType="begin"/>
      </w:r>
      <w:r w:rsidR="00B91D9C" w:rsidRPr="007C658F">
        <w:rPr>
          <w:rFonts w:ascii="Pich" w:hAnsi="Pich"/>
          <w:color w:val="000000"/>
          <w:sz w:val="24"/>
          <w:szCs w:val="24"/>
        </w:rPr>
        <w:instrText xml:space="preserve"> ADDIN EN.CITE &lt;EndNote&gt;&lt;Cite&gt;&lt;Author&gt;El-Gohary&lt;/Author&gt;&lt;Year&gt;2013&lt;/Year&gt;&lt;RecNum&gt;157&lt;/RecNum&gt;&lt;DisplayText&gt;(El-Gohary &amp;amp; Shaaban, 2013)&lt;/DisplayText&gt;&lt;record&gt;&lt;rec-number&gt;157&lt;/rec-number&gt;&lt;foreign-keys&gt;&lt;key app="EN" db-id="wwvvr9pafdddsqe0de8xfa0ndwfaxefzrvfz" timestamp="1586245728"&gt;157&lt;/key&gt;&lt;/foreign-keys&gt;&lt;ref-type name="Journal Article"&gt;17&lt;/ref-type&gt;&lt;contributors&gt;&lt;authors&gt;&lt;author&gt;El-Gohary, Nadia S&lt;/author&gt;&lt;author&gt;Shaaban, Mona I&lt;/author&gt;&lt;/authors&gt;&lt;/contributors&gt;&lt;titles&gt;&lt;title&gt;Synthesis, antimicrobial, antiquorum-sensing, antitumor and cytotoxic activities of new series of fused [1, 3, 4] thiadiazoles&lt;/title&gt;&lt;secondary-title&gt;European journal of medicinal chemistry&lt;/secondary-title&gt;&lt;/titles&gt;&lt;periodical&gt;&lt;full-title&gt;European journal of medicinal chemistry&lt;/full-title&gt;&lt;/periodical&gt;&lt;pages&gt;185-195&lt;/pages&gt;&lt;volume&gt;63&lt;/volume&gt;&lt;dates&gt;&lt;year&gt;2013&lt;/year&gt;&lt;/dates&gt;&lt;isbn&gt;0223-5234&lt;/isbn&gt;&lt;urls&gt;&lt;/urls&gt;&lt;/record&gt;&lt;/Cite&gt;&lt;/EndNote&gt;</w:instrText>
      </w:r>
      <w:r w:rsidR="00B91D9C" w:rsidRPr="007C658F">
        <w:rPr>
          <w:rFonts w:ascii="Pich" w:hAnsi="Pich"/>
          <w:color w:val="000000"/>
          <w:sz w:val="24"/>
          <w:szCs w:val="24"/>
        </w:rPr>
        <w:fldChar w:fldCharType="separate"/>
      </w:r>
      <w:r w:rsidR="00B91D9C">
        <w:rPr>
          <w:rFonts w:ascii="Pich" w:hAnsi="Pich"/>
          <w:noProof/>
          <w:color w:val="000000"/>
          <w:sz w:val="24"/>
          <w:szCs w:val="24"/>
        </w:rPr>
        <w:t>(</w:t>
      </w:r>
      <w:r w:rsidR="00B91D9C" w:rsidRPr="007C658F">
        <w:rPr>
          <w:rFonts w:ascii="Pich" w:hAnsi="Pich"/>
          <w:noProof/>
          <w:color w:val="000000"/>
          <w:sz w:val="24"/>
          <w:szCs w:val="24"/>
        </w:rPr>
        <w:t>El-Gohary and Shaaban, 2015</w:t>
      </w:r>
      <w:r w:rsidR="00B91D9C">
        <w:rPr>
          <w:rFonts w:ascii="Pich" w:hAnsi="Pich"/>
          <w:noProof/>
          <w:color w:val="000000"/>
          <w:sz w:val="24"/>
          <w:szCs w:val="24"/>
        </w:rPr>
        <w:t>; CLSI, 2008a, 2008b</w:t>
      </w:r>
      <w:r w:rsidR="00B91D9C" w:rsidRPr="007C658F">
        <w:rPr>
          <w:rFonts w:ascii="Pich" w:hAnsi="Pich"/>
          <w:noProof/>
          <w:color w:val="000000"/>
          <w:sz w:val="24"/>
          <w:szCs w:val="24"/>
        </w:rPr>
        <w:t>)</w:t>
      </w:r>
      <w:r w:rsidR="00B91D9C" w:rsidRPr="007C658F">
        <w:rPr>
          <w:rFonts w:ascii="Pich" w:hAnsi="Pich"/>
          <w:color w:val="000000"/>
          <w:sz w:val="24"/>
          <w:szCs w:val="24"/>
        </w:rPr>
        <w:fldChar w:fldCharType="end"/>
      </w:r>
      <w:r w:rsidR="00B91D9C" w:rsidRPr="00B13A44">
        <w:rPr>
          <w:rFonts w:asciiTheme="majorBidi" w:hAnsiTheme="majorBidi" w:cstheme="majorBidi"/>
          <w:color w:val="000000"/>
          <w:sz w:val="24"/>
          <w:szCs w:val="24"/>
        </w:rPr>
        <w:t>.</w:t>
      </w:r>
      <w:r w:rsidR="00B91D9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A7333">
        <w:rPr>
          <w:rFonts w:ascii="Times New Roman" w:hAnsi="Times New Roman"/>
          <w:color w:val="000000"/>
          <w:sz w:val="24"/>
          <w:szCs w:val="24"/>
        </w:rPr>
        <w:t>A s</w:t>
      </w:r>
      <w:r w:rsidRPr="008F37EA">
        <w:rPr>
          <w:rFonts w:ascii="Times New Roman" w:hAnsi="Times New Roman"/>
          <w:color w:val="000000"/>
          <w:sz w:val="24"/>
          <w:szCs w:val="24"/>
        </w:rPr>
        <w:t>tock solution (5000 μg/mL) in DMSO (100%) was prepared for each essential oil. Eight concentrations (2500, 1250, 625, 312.5, 156.25, 78.125, 39.06 and 19.53 μg/ml) were prepared for each oil and antibiotics by two-fold serial dilutions. All strains were diluted to OD</w:t>
      </w:r>
      <w:r w:rsidRPr="008F37EA">
        <w:rPr>
          <w:rFonts w:ascii="Times New Roman" w:hAnsi="Times New Roman"/>
          <w:color w:val="000000"/>
          <w:sz w:val="24"/>
          <w:szCs w:val="24"/>
          <w:vertAlign w:val="subscript"/>
        </w:rPr>
        <w:t>600</w:t>
      </w:r>
      <w:r w:rsidRPr="008F37EA">
        <w:rPr>
          <w:rFonts w:ascii="Times New Roman" w:hAnsi="Times New Roman"/>
          <w:color w:val="000000"/>
          <w:sz w:val="24"/>
          <w:szCs w:val="24"/>
        </w:rPr>
        <w:t xml:space="preserve"> 0.01 (equivalent to 8 x10</w:t>
      </w:r>
      <w:r w:rsidRPr="008F37EA">
        <w:rPr>
          <w:rFonts w:ascii="Times New Roman" w:hAnsi="Times New Roman"/>
          <w:color w:val="000000"/>
          <w:sz w:val="24"/>
          <w:szCs w:val="24"/>
          <w:vertAlign w:val="superscript"/>
        </w:rPr>
        <w:t>6</w:t>
      </w:r>
      <w:r w:rsidRPr="008F37EA">
        <w:rPr>
          <w:rFonts w:ascii="Times New Roman" w:hAnsi="Times New Roman"/>
          <w:color w:val="000000"/>
          <w:sz w:val="24"/>
          <w:szCs w:val="24"/>
        </w:rPr>
        <w:t xml:space="preserve"> cells/mL). The diluted cultures (10 μL) were mixed with the test solutions (100 μL, each) in</w:t>
      </w:r>
      <w:r w:rsidR="009A7333">
        <w:rPr>
          <w:rFonts w:ascii="Times New Roman" w:hAnsi="Times New Roman"/>
          <w:color w:val="000000"/>
          <w:sz w:val="24"/>
          <w:szCs w:val="24"/>
        </w:rPr>
        <w:t>to the</w:t>
      </w:r>
      <w:r w:rsidRPr="008F37EA">
        <w:rPr>
          <w:rFonts w:ascii="Times New Roman" w:hAnsi="Times New Roman"/>
          <w:color w:val="000000"/>
          <w:sz w:val="24"/>
          <w:szCs w:val="24"/>
        </w:rPr>
        <w:t xml:space="preserve"> wells. The plates were incubated for 24 h at 37°C. MIC values were detected visually as the least concentration of the oil that inhibits bacterial and / or fungal growth (no turbidity). Ampicillin and amphotericin B were used as </w:t>
      </w:r>
      <w:r w:rsidR="00487C96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Pr="008F37EA">
        <w:rPr>
          <w:rFonts w:ascii="Times New Roman" w:hAnsi="Times New Roman"/>
          <w:color w:val="000000"/>
          <w:sz w:val="24"/>
          <w:szCs w:val="24"/>
        </w:rPr>
        <w:t>positive control to assess the efficacy of the tested oils in this assay.</w:t>
      </w:r>
    </w:p>
    <w:p w:rsidR="008F37EA" w:rsidRPr="008F37EA" w:rsidRDefault="008F37EA" w:rsidP="008F37EA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F37EA">
        <w:rPr>
          <w:rFonts w:asciiTheme="majorBidi" w:hAnsiTheme="majorBidi" w:cstheme="majorBidi"/>
          <w:b/>
          <w:bCs/>
          <w:sz w:val="24"/>
          <w:szCs w:val="24"/>
        </w:rPr>
        <w:t>Histopathological examination:</w:t>
      </w:r>
    </w:p>
    <w:p w:rsidR="00CD41CB" w:rsidRPr="008F37EA" w:rsidRDefault="008F37EA" w:rsidP="00770F6A">
      <w:pPr>
        <w:spacing w:after="0" w:line="48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8F37EA">
        <w:rPr>
          <w:rFonts w:asciiTheme="majorBidi" w:hAnsiTheme="majorBidi" w:cstheme="majorBidi"/>
          <w:i/>
          <w:iCs/>
          <w:sz w:val="24"/>
          <w:szCs w:val="24"/>
        </w:rPr>
        <w:t xml:space="preserve">The modified scoring system </w:t>
      </w:r>
      <w:r w:rsidR="00770F6A">
        <w:rPr>
          <w:rFonts w:asciiTheme="majorBidi" w:hAnsiTheme="majorBidi" w:cstheme="majorBidi"/>
          <w:i/>
          <w:iCs/>
          <w:sz w:val="24"/>
          <w:szCs w:val="24"/>
        </w:rPr>
        <w:t xml:space="preserve">of </w:t>
      </w:r>
      <w:r w:rsidRPr="008F37EA">
        <w:rPr>
          <w:rFonts w:asciiTheme="majorBidi" w:hAnsiTheme="majorBidi" w:cstheme="majorBidi"/>
          <w:i/>
          <w:iCs/>
          <w:sz w:val="24"/>
          <w:szCs w:val="24"/>
        </w:rPr>
        <w:t>histopathological criteria</w:t>
      </w:r>
      <w:r w:rsidR="00770F6A">
        <w:rPr>
          <w:rFonts w:asciiTheme="majorBidi" w:hAnsiTheme="majorBidi" w:cstheme="majorBidi"/>
          <w:i/>
          <w:iCs/>
          <w:sz w:val="24"/>
          <w:szCs w:val="24"/>
        </w:rPr>
        <w:t xml:space="preserve"> for </w:t>
      </w:r>
      <w:r w:rsidRPr="008F37EA">
        <w:rPr>
          <w:rFonts w:asciiTheme="majorBidi" w:hAnsiTheme="majorBidi" w:cstheme="majorBidi"/>
          <w:i/>
          <w:iCs/>
          <w:sz w:val="24"/>
          <w:szCs w:val="24"/>
        </w:rPr>
        <w:t>assess</w:t>
      </w:r>
      <w:r w:rsidR="00487C96">
        <w:rPr>
          <w:rFonts w:asciiTheme="majorBidi" w:hAnsiTheme="majorBidi" w:cstheme="majorBidi"/>
          <w:i/>
          <w:iCs/>
          <w:sz w:val="24"/>
          <w:szCs w:val="24"/>
        </w:rPr>
        <w:t>ing</w:t>
      </w:r>
      <w:r w:rsidRPr="008F37EA">
        <w:rPr>
          <w:rFonts w:asciiTheme="majorBidi" w:hAnsiTheme="majorBidi" w:cstheme="majorBidi"/>
          <w:i/>
          <w:iCs/>
          <w:sz w:val="24"/>
          <w:szCs w:val="24"/>
        </w:rPr>
        <w:t xml:space="preserve"> surgical wound healing</w:t>
      </w:r>
      <w:r w:rsidRPr="008F37EA">
        <w:rPr>
          <w:rFonts w:ascii="Times New Roman" w:hAnsi="Times New Roman"/>
          <w:bCs/>
          <w:i/>
          <w:iCs/>
          <w:sz w:val="24"/>
          <w:szCs w:val="24"/>
        </w:rPr>
        <w:t>:</w:t>
      </w:r>
    </w:p>
    <w:p w:rsidR="008F37EA" w:rsidRPr="00F01E10" w:rsidRDefault="008F37EA">
      <w:pPr>
        <w:pStyle w:val="NormalWeb"/>
        <w:shd w:val="clear" w:color="auto" w:fill="FFFFFF"/>
        <w:spacing w:before="0" w:beforeAutospacing="0" w:after="0" w:afterAutospacing="0" w:line="480" w:lineRule="auto"/>
        <w:ind w:firstLine="720"/>
        <w:jc w:val="both"/>
        <w:rPr>
          <w:rFonts w:asciiTheme="majorBidi" w:eastAsia="Calibri" w:hAnsiTheme="majorBidi" w:cstheme="majorBidi"/>
          <w:color w:val="000000"/>
        </w:rPr>
      </w:pPr>
      <w:r w:rsidRPr="008F37EA">
        <w:rPr>
          <w:rFonts w:asciiTheme="majorBidi" w:eastAsia="Calibri" w:hAnsiTheme="majorBidi" w:cstheme="majorBidi"/>
          <w:color w:val="000000"/>
        </w:rPr>
        <w:t xml:space="preserve">The extent of granulation tissue was scored </w:t>
      </w:r>
      <w:r w:rsidR="00487C96">
        <w:rPr>
          <w:rFonts w:asciiTheme="majorBidi" w:eastAsia="Calibri" w:hAnsiTheme="majorBidi" w:cstheme="majorBidi"/>
          <w:color w:val="000000"/>
        </w:rPr>
        <w:t>based</w:t>
      </w:r>
      <w:r w:rsidR="00487C96" w:rsidRPr="008F37EA">
        <w:rPr>
          <w:rFonts w:asciiTheme="majorBidi" w:eastAsia="Calibri" w:hAnsiTheme="majorBidi" w:cstheme="majorBidi"/>
          <w:color w:val="000000"/>
        </w:rPr>
        <w:t xml:space="preserve"> </w:t>
      </w:r>
      <w:r w:rsidRPr="008F37EA">
        <w:rPr>
          <w:rFonts w:asciiTheme="majorBidi" w:eastAsia="Calibri" w:hAnsiTheme="majorBidi" w:cstheme="majorBidi"/>
          <w:color w:val="000000"/>
        </w:rPr>
        <w:t xml:space="preserve">on seven parameters </w:t>
      </w:r>
      <w:r w:rsidR="00487C96">
        <w:rPr>
          <w:rFonts w:asciiTheme="majorBidi" w:eastAsia="Calibri" w:hAnsiTheme="majorBidi" w:cstheme="majorBidi"/>
          <w:color w:val="000000"/>
        </w:rPr>
        <w:t>at</w:t>
      </w:r>
      <w:r w:rsidR="00487C96" w:rsidRPr="008F37EA">
        <w:rPr>
          <w:rFonts w:asciiTheme="majorBidi" w:eastAsia="Calibri" w:hAnsiTheme="majorBidi" w:cstheme="majorBidi"/>
          <w:color w:val="000000"/>
        </w:rPr>
        <w:t xml:space="preserve"> </w:t>
      </w:r>
      <w:r w:rsidRPr="008F37EA">
        <w:rPr>
          <w:rFonts w:asciiTheme="majorBidi" w:eastAsia="Calibri" w:hAnsiTheme="majorBidi" w:cstheme="majorBidi"/>
          <w:color w:val="000000"/>
        </w:rPr>
        <w:t xml:space="preserve">day </w:t>
      </w:r>
      <w:r w:rsidR="00487C96">
        <w:rPr>
          <w:rFonts w:asciiTheme="majorBidi" w:eastAsia="Calibri" w:hAnsiTheme="majorBidi" w:cstheme="majorBidi"/>
          <w:color w:val="000000"/>
        </w:rPr>
        <w:t xml:space="preserve">7 </w:t>
      </w:r>
      <w:r w:rsidRPr="008F37EA">
        <w:rPr>
          <w:rFonts w:asciiTheme="majorBidi" w:eastAsia="Calibri" w:hAnsiTheme="majorBidi" w:cstheme="majorBidi"/>
          <w:color w:val="000000"/>
        </w:rPr>
        <w:t xml:space="preserve">and day </w:t>
      </w:r>
      <w:r w:rsidR="00487C96">
        <w:rPr>
          <w:rFonts w:asciiTheme="majorBidi" w:eastAsia="Calibri" w:hAnsiTheme="majorBidi" w:cstheme="majorBidi"/>
          <w:color w:val="000000"/>
        </w:rPr>
        <w:t xml:space="preserve">14 </w:t>
      </w:r>
      <w:r w:rsidRPr="008F37EA">
        <w:rPr>
          <w:rFonts w:asciiTheme="majorBidi" w:eastAsia="Calibri" w:hAnsiTheme="majorBidi" w:cstheme="majorBidi"/>
          <w:color w:val="000000"/>
        </w:rPr>
        <w:t>after burn injury including: (i) monocytic macrophage (0-3), (ii) neovascularization (0-3), (iii) fibroblastic proliferation (</w:t>
      </w:r>
      <w:r w:rsidRPr="00F01E10">
        <w:rPr>
          <w:rFonts w:asciiTheme="majorBidi" w:eastAsia="Calibri" w:hAnsiTheme="majorBidi" w:cstheme="majorBidi"/>
          <w:color w:val="000000"/>
        </w:rPr>
        <w:t xml:space="preserve">0-3), (iv) degree of granulation tissue (0-3), (v) matrix (mucopolysaccharide deposition) (0-3), (vi) degree of inflammation (0-3) and (vii) extent of bacterial colonization (-3 to 0). The sum of scales regarding granulation state was in </w:t>
      </w:r>
      <w:r w:rsidR="00487C96">
        <w:rPr>
          <w:rFonts w:asciiTheme="majorBidi" w:eastAsia="Calibri" w:hAnsiTheme="majorBidi" w:cstheme="majorBidi"/>
          <w:color w:val="000000"/>
        </w:rPr>
        <w:t>the</w:t>
      </w:r>
      <w:r w:rsidR="00487C96" w:rsidRPr="00F01E10">
        <w:rPr>
          <w:rFonts w:asciiTheme="majorBidi" w:eastAsia="Calibri" w:hAnsiTheme="majorBidi" w:cstheme="majorBidi"/>
          <w:color w:val="000000"/>
        </w:rPr>
        <w:t xml:space="preserve"> </w:t>
      </w:r>
      <w:r w:rsidRPr="00F01E10">
        <w:rPr>
          <w:rFonts w:asciiTheme="majorBidi" w:eastAsia="Calibri" w:hAnsiTheme="majorBidi" w:cstheme="majorBidi"/>
          <w:color w:val="000000"/>
        </w:rPr>
        <w:t>range from -3 to 18. The 18 value was the highest degree of granulation tissue formation on the 7</w:t>
      </w:r>
      <w:r w:rsidRPr="00F01E10">
        <w:rPr>
          <w:rFonts w:asciiTheme="majorBidi" w:eastAsia="Calibri" w:hAnsiTheme="majorBidi" w:cstheme="majorBidi"/>
          <w:color w:val="000000"/>
          <w:vertAlign w:val="superscript"/>
        </w:rPr>
        <w:t>th</w:t>
      </w:r>
      <w:r w:rsidRPr="00F01E10">
        <w:rPr>
          <w:rFonts w:asciiTheme="majorBidi" w:eastAsia="Calibri" w:hAnsiTheme="majorBidi" w:cstheme="majorBidi"/>
          <w:color w:val="000000"/>
        </w:rPr>
        <w:t xml:space="preserve"> day and 14</w:t>
      </w:r>
      <w:r w:rsidRPr="00F01E10">
        <w:rPr>
          <w:rFonts w:asciiTheme="majorBidi" w:eastAsia="Calibri" w:hAnsiTheme="majorBidi" w:cstheme="majorBidi"/>
          <w:color w:val="000000"/>
          <w:vertAlign w:val="superscript"/>
        </w:rPr>
        <w:t>th</w:t>
      </w:r>
      <w:r w:rsidRPr="00F01E10">
        <w:rPr>
          <w:rFonts w:asciiTheme="majorBidi" w:eastAsia="Calibri" w:hAnsiTheme="majorBidi" w:cstheme="majorBidi"/>
          <w:color w:val="000000"/>
        </w:rPr>
        <w:t xml:space="preserve"> day after a burn injury; as the following: [-3-0] = absent granulation, [1-4] = low, [5-12] = moderate and [13-18] was recorded as the good extent of granulation tissue. The re-epithelization </w:t>
      </w:r>
      <w:r w:rsidRPr="00F01E10">
        <w:rPr>
          <w:rFonts w:asciiTheme="majorBidi" w:eastAsia="Calibri" w:hAnsiTheme="majorBidi" w:cstheme="majorBidi"/>
          <w:color w:val="000000"/>
        </w:rPr>
        <w:lastRenderedPageBreak/>
        <w:t>was evaluated based on six components on day</w:t>
      </w:r>
      <w:r w:rsidR="00487C96">
        <w:rPr>
          <w:rFonts w:asciiTheme="majorBidi" w:eastAsia="Calibri" w:hAnsiTheme="majorBidi" w:cstheme="majorBidi"/>
          <w:color w:val="000000"/>
        </w:rPr>
        <w:t xml:space="preserve"> 7</w:t>
      </w:r>
      <w:r w:rsidRPr="00F01E10">
        <w:rPr>
          <w:rFonts w:asciiTheme="majorBidi" w:eastAsia="Calibri" w:hAnsiTheme="majorBidi" w:cstheme="majorBidi"/>
          <w:color w:val="000000"/>
        </w:rPr>
        <w:t xml:space="preserve">: (i) </w:t>
      </w:r>
      <w:r w:rsidR="00487C96">
        <w:rPr>
          <w:rFonts w:asciiTheme="majorBidi" w:eastAsia="Calibri" w:hAnsiTheme="majorBidi" w:cstheme="majorBidi"/>
          <w:color w:val="000000"/>
        </w:rPr>
        <w:t xml:space="preserve">extent of </w:t>
      </w:r>
      <w:r w:rsidRPr="00F01E10">
        <w:rPr>
          <w:rFonts w:asciiTheme="majorBidi" w:eastAsia="Calibri" w:hAnsiTheme="majorBidi" w:cstheme="majorBidi"/>
          <w:color w:val="000000"/>
        </w:rPr>
        <w:t>epidermal thickness with (0-3), (ii) thickness of granular cell layer (0-3), (iii) maturation and organizatio</w:t>
      </w:r>
      <w:r w:rsidR="00E554B7">
        <w:rPr>
          <w:rFonts w:asciiTheme="majorBidi" w:eastAsia="Calibri" w:hAnsiTheme="majorBidi" w:cstheme="majorBidi"/>
          <w:color w:val="000000"/>
        </w:rPr>
        <w:t>n of squamous cells (0-3), (iv)</w:t>
      </w:r>
      <w:r w:rsidRPr="00F01E10">
        <w:rPr>
          <w:rFonts w:asciiTheme="majorBidi" w:eastAsia="Calibri" w:hAnsiTheme="majorBidi" w:cstheme="majorBidi"/>
          <w:color w:val="000000"/>
        </w:rPr>
        <w:t xml:space="preserve">extent of keratin layer (0-3), (v) orthokeratin (0-3) and (vi) parakeratosis (0-3). Skin with score 3 </w:t>
      </w:r>
      <w:r w:rsidR="00E44D6C">
        <w:rPr>
          <w:rFonts w:asciiTheme="majorBidi" w:eastAsia="Calibri" w:hAnsiTheme="majorBidi" w:cstheme="majorBidi"/>
          <w:color w:val="000000"/>
        </w:rPr>
        <w:t>was</w:t>
      </w:r>
      <w:r w:rsidRPr="00F01E10">
        <w:rPr>
          <w:rFonts w:asciiTheme="majorBidi" w:eastAsia="Calibri" w:hAnsiTheme="majorBidi" w:cstheme="majorBidi"/>
          <w:color w:val="000000"/>
        </w:rPr>
        <w:t xml:space="preserve"> full-thickness and well-</w:t>
      </w:r>
      <w:r w:rsidR="00E44D6C">
        <w:rPr>
          <w:rFonts w:asciiTheme="majorBidi" w:eastAsia="Calibri" w:hAnsiTheme="majorBidi" w:cstheme="majorBidi"/>
          <w:color w:val="000000"/>
        </w:rPr>
        <w:t>structured</w:t>
      </w:r>
      <w:r w:rsidRPr="00F01E10">
        <w:rPr>
          <w:rFonts w:asciiTheme="majorBidi" w:eastAsia="Calibri" w:hAnsiTheme="majorBidi" w:cstheme="majorBidi"/>
          <w:color w:val="000000"/>
        </w:rPr>
        <w:t xml:space="preserve">. The sum of re-epithelization scales was in the range of 0 to 18. The value </w:t>
      </w:r>
      <w:r w:rsidR="00E44D6C">
        <w:rPr>
          <w:rFonts w:asciiTheme="majorBidi" w:eastAsia="Calibri" w:hAnsiTheme="majorBidi" w:cstheme="majorBidi"/>
          <w:color w:val="000000"/>
        </w:rPr>
        <w:t xml:space="preserve">of 18 </w:t>
      </w:r>
      <w:r w:rsidRPr="00F01E10">
        <w:rPr>
          <w:rFonts w:asciiTheme="majorBidi" w:eastAsia="Calibri" w:hAnsiTheme="majorBidi" w:cstheme="majorBidi"/>
          <w:color w:val="000000"/>
        </w:rPr>
        <w:t xml:space="preserve">was the highest degree of re-epithelization </w:t>
      </w:r>
      <w:r w:rsidR="00E44D6C">
        <w:rPr>
          <w:rFonts w:asciiTheme="majorBidi" w:eastAsia="Calibri" w:hAnsiTheme="majorBidi" w:cstheme="majorBidi"/>
          <w:color w:val="000000"/>
        </w:rPr>
        <w:t>at</w:t>
      </w:r>
      <w:r w:rsidR="00E44D6C" w:rsidRPr="00F01E10">
        <w:rPr>
          <w:rFonts w:asciiTheme="majorBidi" w:eastAsia="Calibri" w:hAnsiTheme="majorBidi" w:cstheme="majorBidi"/>
          <w:color w:val="000000"/>
        </w:rPr>
        <w:t xml:space="preserve"> </w:t>
      </w:r>
      <w:r w:rsidRPr="00F01E10">
        <w:rPr>
          <w:rFonts w:asciiTheme="majorBidi" w:eastAsia="Calibri" w:hAnsiTheme="majorBidi" w:cstheme="majorBidi"/>
          <w:color w:val="000000"/>
        </w:rPr>
        <w:t xml:space="preserve">day </w:t>
      </w:r>
      <w:r w:rsidR="00E44D6C">
        <w:rPr>
          <w:rFonts w:asciiTheme="majorBidi" w:eastAsia="Calibri" w:hAnsiTheme="majorBidi" w:cstheme="majorBidi"/>
          <w:color w:val="000000"/>
        </w:rPr>
        <w:t xml:space="preserve">7 </w:t>
      </w:r>
      <w:r w:rsidRPr="00F01E10">
        <w:rPr>
          <w:rFonts w:asciiTheme="majorBidi" w:eastAsia="Calibri" w:hAnsiTheme="majorBidi" w:cstheme="majorBidi"/>
          <w:color w:val="000000"/>
        </w:rPr>
        <w:t xml:space="preserve">after burn injury including 0 = no </w:t>
      </w:r>
      <w:r w:rsidRPr="00F01E10">
        <w:rPr>
          <w:rFonts w:asciiTheme="majorBidi" w:hAnsiTheme="majorBidi" w:cstheme="majorBidi"/>
        </w:rPr>
        <w:t>epithelization</w:t>
      </w:r>
      <w:r w:rsidRPr="00F01E10">
        <w:rPr>
          <w:rFonts w:asciiTheme="majorBidi" w:eastAsia="Calibri" w:hAnsiTheme="majorBidi" w:cstheme="majorBidi"/>
          <w:color w:val="000000"/>
        </w:rPr>
        <w:t>, [1-6] = low, [7-12] = moderate and [13-18] was set as good re-epithelization.</w:t>
      </w:r>
    </w:p>
    <w:p w:rsidR="008F37EA" w:rsidRPr="00F01E10" w:rsidRDefault="008F37EA" w:rsidP="008F37EA">
      <w:pPr>
        <w:pStyle w:val="NormalWeb"/>
        <w:shd w:val="clear" w:color="auto" w:fill="FFFFFF"/>
        <w:spacing w:before="240" w:beforeAutospacing="0" w:after="0" w:afterAutospacing="0" w:line="480" w:lineRule="auto"/>
        <w:ind w:firstLine="720"/>
        <w:jc w:val="both"/>
        <w:rPr>
          <w:rFonts w:asciiTheme="majorBidi" w:eastAsia="Calibri" w:hAnsiTheme="majorBidi" w:cstheme="majorBidi"/>
          <w:color w:val="000000"/>
        </w:rPr>
      </w:pPr>
      <w:r w:rsidRPr="00F01E10">
        <w:rPr>
          <w:rFonts w:asciiTheme="majorBidi" w:eastAsia="Calibri" w:hAnsiTheme="majorBidi" w:cstheme="majorBidi"/>
          <w:color w:val="000000"/>
        </w:rPr>
        <w:t>Histopathological investigation of the complete wound healing or the new dermis was scored on the 21</w:t>
      </w:r>
      <w:r w:rsidRPr="00F01E10">
        <w:rPr>
          <w:rFonts w:asciiTheme="majorBidi" w:eastAsia="Calibri" w:hAnsiTheme="majorBidi" w:cstheme="majorBidi"/>
          <w:color w:val="000000"/>
          <w:vertAlign w:val="superscript"/>
        </w:rPr>
        <w:t>st</w:t>
      </w:r>
      <w:r w:rsidRPr="00F01E10">
        <w:rPr>
          <w:rFonts w:asciiTheme="majorBidi" w:eastAsia="Calibri" w:hAnsiTheme="majorBidi" w:cstheme="majorBidi"/>
          <w:color w:val="000000"/>
        </w:rPr>
        <w:t> day after burn injury depending on five components: (i) degree of scar formation (0-3), (ii) matrix of collagen organization (0-3), (iii) exten</w:t>
      </w:r>
      <w:r w:rsidR="00CE64C4">
        <w:rPr>
          <w:rFonts w:asciiTheme="majorBidi" w:eastAsia="Calibri" w:hAnsiTheme="majorBidi" w:cstheme="majorBidi"/>
          <w:color w:val="000000"/>
        </w:rPr>
        <w:t xml:space="preserve">sion </w:t>
      </w:r>
      <w:r w:rsidRPr="00F01E10">
        <w:rPr>
          <w:rFonts w:asciiTheme="majorBidi" w:eastAsia="Calibri" w:hAnsiTheme="majorBidi" w:cstheme="majorBidi"/>
          <w:color w:val="000000"/>
        </w:rPr>
        <w:t>of hair follicles (0-3), (iv) extent of lymphatic ducts (0-3), and (v) degree of innervation (0-3). The sum of the score was at a range between 0 to15. The best condition for new dermis was scored 15 on 21</w:t>
      </w:r>
      <w:r w:rsidRPr="00F01E10">
        <w:rPr>
          <w:rFonts w:asciiTheme="majorBidi" w:eastAsia="Calibri" w:hAnsiTheme="majorBidi" w:cstheme="majorBidi"/>
          <w:color w:val="000000"/>
          <w:vertAlign w:val="superscript"/>
        </w:rPr>
        <w:t>st</w:t>
      </w:r>
      <w:r w:rsidRPr="00F01E10">
        <w:rPr>
          <w:rFonts w:asciiTheme="majorBidi" w:eastAsia="Calibri" w:hAnsiTheme="majorBidi" w:cstheme="majorBidi"/>
          <w:color w:val="000000"/>
        </w:rPr>
        <w:t> day after burn injury. The sum of scales for wound healing was divided into four groups: 0 = no healing, (1-5) = low, (6-10) = moderate healing and (11-15) = good healing. The sum of scales for each part of histopathological evaluation was classified into three groups: extent of granulation, new dermis and re-epithelization. The fundamental parameters of the new dermis and collagen organization were marked at four levels, and each level was scored and defined as follows: (-) or 0 = collagen fibers are poorly oriented or absent. (+) or 1 = 10-20% collagen fibers are horizontally oriented. (++) or 2 = 30-40% collagen fibers are horizontally oriented.  (+++) or 3 = well-formed and horizontally oriented collagen fiber. Complete healing was assessed by degree of scar formation, collagen organization, hair follicles and the degree of innervations after three weeks of burn induction. A score was assigned for all parameters estimated: including 0 = absent, 1 = mild presence, 2 = moderate presence and 3 = strong presence.</w:t>
      </w:r>
    </w:p>
    <w:p w:rsidR="00AC0A0E" w:rsidRPr="00D35B35" w:rsidRDefault="00AC0A0E" w:rsidP="00AC0A0E">
      <w:pPr>
        <w:pStyle w:val="NormalWeb"/>
        <w:shd w:val="clear" w:color="auto" w:fill="FFFFFF"/>
        <w:spacing w:before="120" w:beforeAutospacing="0" w:after="0" w:afterAutospacing="0" w:line="480" w:lineRule="auto"/>
        <w:jc w:val="both"/>
        <w:rPr>
          <w:rFonts w:asciiTheme="majorBidi" w:eastAsia="Calibri" w:hAnsiTheme="majorBidi" w:cstheme="majorBidi"/>
          <w:i/>
          <w:iCs/>
          <w:color w:val="000000"/>
          <w:rtl/>
          <w:lang w:bidi="ar-EG"/>
        </w:rPr>
      </w:pPr>
      <w:r w:rsidRPr="00D35B35">
        <w:rPr>
          <w:rFonts w:asciiTheme="majorBidi" w:eastAsia="Calibri" w:hAnsiTheme="majorBidi" w:cstheme="majorBidi"/>
          <w:i/>
          <w:iCs/>
          <w:color w:val="000000"/>
        </w:rPr>
        <w:lastRenderedPageBreak/>
        <w:t>Statistical analysis and software used</w:t>
      </w:r>
    </w:p>
    <w:p w:rsidR="00AC0A0E" w:rsidRDefault="00AC0A0E" w:rsidP="00AC0A0E">
      <w:pPr>
        <w:autoSpaceDE w:val="0"/>
        <w:autoSpaceDN w:val="0"/>
        <w:adjustRightInd w:val="0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B13A44">
        <w:rPr>
          <w:rFonts w:asciiTheme="majorBidi" w:hAnsiTheme="majorBidi" w:cstheme="majorBidi"/>
          <w:sz w:val="24"/>
          <w:szCs w:val="24"/>
        </w:rPr>
        <w:t xml:space="preserve">Data are expressed as mean ± standard deviation (S.D), and statistical significance between experimental and control values was analyzed by </w:t>
      </w:r>
      <w:r>
        <w:rPr>
          <w:rFonts w:asciiTheme="majorBidi" w:hAnsiTheme="majorBidi" w:cstheme="majorBidi"/>
          <w:sz w:val="24"/>
          <w:szCs w:val="24"/>
        </w:rPr>
        <w:t>o</w:t>
      </w:r>
      <w:r w:rsidRPr="00B13A44">
        <w:rPr>
          <w:rFonts w:asciiTheme="majorBidi" w:hAnsiTheme="majorBidi" w:cstheme="majorBidi"/>
          <w:sz w:val="24"/>
          <w:szCs w:val="24"/>
        </w:rPr>
        <w:t xml:space="preserve">ne-way analysis of variance ANOVA test in GraphPad Prism (version 5). A </w:t>
      </w:r>
      <w:r w:rsidRPr="00B13A44">
        <w:rPr>
          <w:rFonts w:asciiTheme="majorBidi" w:hAnsiTheme="majorBidi" w:cstheme="majorBidi"/>
          <w:i/>
          <w:iCs/>
          <w:sz w:val="24"/>
          <w:szCs w:val="24"/>
        </w:rPr>
        <w:t>p-</w:t>
      </w:r>
      <w:r w:rsidRPr="00B13A44">
        <w:rPr>
          <w:rFonts w:asciiTheme="majorBidi" w:hAnsiTheme="majorBidi" w:cstheme="majorBidi"/>
          <w:sz w:val="24"/>
          <w:szCs w:val="24"/>
        </w:rPr>
        <w:t>value less than 0.05 was considered to be statistically significant.</w:t>
      </w:r>
    </w:p>
    <w:p w:rsidR="00CD41CB" w:rsidRDefault="00AC0A0E" w:rsidP="00D166CA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References:</w:t>
      </w:r>
    </w:p>
    <w:p w:rsidR="001350A4" w:rsidRPr="00151B3C" w:rsidRDefault="001350A4" w:rsidP="001350A4">
      <w:pPr>
        <w:pStyle w:val="EndNoteBibliography"/>
        <w:bidi w:val="0"/>
        <w:spacing w:after="0" w:line="480" w:lineRule="auto"/>
        <w:rPr>
          <w:rFonts w:ascii="Pich" w:hAnsi="Pich"/>
          <w:sz w:val="24"/>
          <w:szCs w:val="24"/>
        </w:rPr>
      </w:pPr>
      <w:r>
        <w:rPr>
          <w:rFonts w:ascii="Pich" w:hAnsi="Pich"/>
          <w:color w:val="000000"/>
          <w:sz w:val="24"/>
          <w:szCs w:val="24"/>
        </w:rPr>
        <w:t>El-Gohary</w:t>
      </w:r>
      <w:r>
        <w:rPr>
          <w:rFonts w:ascii="Pich" w:hAnsi="Pich"/>
          <w:sz w:val="24"/>
          <w:szCs w:val="24"/>
        </w:rPr>
        <w:t>, N. S., Shaaban, M. I., 2015 . Synthesis, antimicrobial, antiquorum-sensing, and cytotoxic activities of new series of isoindoline</w:t>
      </w:r>
      <w:r>
        <w:rPr>
          <w:rFonts w:ascii="Cambria Math" w:hAnsi="Cambria Math" w:cs="Cambria Math"/>
          <w:sz w:val="24"/>
          <w:szCs w:val="24"/>
        </w:rPr>
        <w:t>‐</w:t>
      </w:r>
      <w:r>
        <w:rPr>
          <w:rFonts w:ascii="Pich" w:hAnsi="Pich"/>
          <w:sz w:val="24"/>
          <w:szCs w:val="24"/>
        </w:rPr>
        <w:t>1, 3</w:t>
      </w:r>
      <w:r>
        <w:rPr>
          <w:rFonts w:ascii="Cambria Math" w:hAnsi="Cambria Math" w:cs="Cambria Math"/>
          <w:sz w:val="24"/>
          <w:szCs w:val="24"/>
        </w:rPr>
        <w:t>‐</w:t>
      </w:r>
      <w:r>
        <w:rPr>
          <w:rFonts w:ascii="Pich" w:hAnsi="Pich"/>
          <w:sz w:val="24"/>
          <w:szCs w:val="24"/>
        </w:rPr>
        <w:t>dione, pyrazolo [5, 1</w:t>
      </w:r>
      <w:r>
        <w:rPr>
          <w:rFonts w:ascii="Cambria Math" w:hAnsi="Cambria Math" w:cs="Cambria Math"/>
          <w:sz w:val="24"/>
          <w:szCs w:val="24"/>
        </w:rPr>
        <w:t>‐</w:t>
      </w:r>
      <w:r>
        <w:rPr>
          <w:rFonts w:ascii="Pich" w:hAnsi="Pich"/>
          <w:sz w:val="24"/>
          <w:szCs w:val="24"/>
        </w:rPr>
        <w:t>a]</w:t>
      </w:r>
      <w:r>
        <w:rPr>
          <w:rFonts w:ascii="Cambria Math" w:hAnsi="Cambria Math" w:cs="Cambria Math"/>
          <w:sz w:val="24"/>
          <w:szCs w:val="24"/>
        </w:rPr>
        <w:t>‐</w:t>
      </w:r>
      <w:r>
        <w:rPr>
          <w:rFonts w:ascii="Pich" w:hAnsi="Pich"/>
          <w:sz w:val="24"/>
          <w:szCs w:val="24"/>
        </w:rPr>
        <w:t xml:space="preserve">isoindole, and pyridine derivatives. Archiv der Pharmazie, 348(11), 835-835. </w:t>
      </w:r>
      <w:r>
        <w:rPr>
          <w:rFonts w:ascii="Pich" w:hAnsi="Pich"/>
          <w:color w:val="000000"/>
          <w:sz w:val="24"/>
          <w:szCs w:val="24"/>
          <w:shd w:val="clear" w:color="auto" w:fill="FFFFFF"/>
        </w:rPr>
        <w:t>DOI: </w:t>
      </w:r>
      <w:hyperlink r:id="rId7" w:tgtFrame="_blank" w:history="1">
        <w:r>
          <w:rPr>
            <w:rStyle w:val="Hyperlink"/>
            <w:rFonts w:ascii="Pich" w:hAnsi="Pich"/>
            <w:sz w:val="24"/>
            <w:szCs w:val="24"/>
            <w:bdr w:val="none" w:sz="0" w:space="0" w:color="auto" w:frame="1"/>
            <w:shd w:val="clear" w:color="auto" w:fill="FFFFFF"/>
          </w:rPr>
          <w:t>10.1002/ardp.201500037</w:t>
        </w:r>
      </w:hyperlink>
    </w:p>
    <w:p w:rsidR="001350A4" w:rsidRDefault="001350A4" w:rsidP="001350A4">
      <w:pPr>
        <w:pStyle w:val="EndNoteBibliography"/>
        <w:bidi w:val="0"/>
        <w:spacing w:after="120" w:line="480" w:lineRule="auto"/>
        <w:rPr>
          <w:rFonts w:ascii="Pich" w:hAnsi="Pich"/>
          <w:sz w:val="24"/>
          <w:szCs w:val="24"/>
        </w:rPr>
      </w:pPr>
      <w:r>
        <w:rPr>
          <w:rFonts w:ascii="Pich" w:hAnsi="Pich"/>
          <w:sz w:val="24"/>
          <w:szCs w:val="24"/>
        </w:rPr>
        <w:t>Clinical Laboratory Standards Institute (CLSI)., 2008a. Reference method for broth dilution antifungal susceptibility testing of Filamentous Fungi: Second informational supplement M38-A2: CLSI Wayne, PA, USA.</w:t>
      </w:r>
    </w:p>
    <w:p w:rsidR="001350A4" w:rsidRPr="00952441" w:rsidRDefault="001350A4" w:rsidP="001350A4">
      <w:pPr>
        <w:pStyle w:val="EndNoteBibliography"/>
        <w:bidi w:val="0"/>
        <w:spacing w:after="120" w:line="480" w:lineRule="auto"/>
        <w:rPr>
          <w:rFonts w:ascii="Pich" w:hAnsi="Pich"/>
          <w:sz w:val="24"/>
          <w:szCs w:val="24"/>
        </w:rPr>
      </w:pPr>
      <w:r>
        <w:rPr>
          <w:rFonts w:ascii="Pich" w:hAnsi="Pich"/>
          <w:sz w:val="24"/>
          <w:szCs w:val="24"/>
        </w:rPr>
        <w:t>Clinical Laboratory Standards Institute (CLSI)., 2008b. Reference method for broth dilution antifungal susceptibility testing of yeasts: Third informational supplement M27-A3: CLSI Wayne, PA, USA.</w:t>
      </w:r>
    </w:p>
    <w:p w:rsidR="00CD41CB" w:rsidRDefault="00CD41CB" w:rsidP="00D166CA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D41CB" w:rsidRDefault="00CD41CB" w:rsidP="00D166CA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D41CB" w:rsidRDefault="00CD41CB" w:rsidP="00D166CA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D41CB" w:rsidRDefault="00CD41CB" w:rsidP="00D166CA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8782D" w:rsidRDefault="00D8782D" w:rsidP="00CD41CB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:rsidR="005D7BEC" w:rsidRDefault="005D7BEC" w:rsidP="00CD41CB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:rsidR="005D7BEC" w:rsidRDefault="005D7BEC" w:rsidP="00CD41CB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:rsidR="005D7BEC" w:rsidRDefault="005D7BEC" w:rsidP="00CD41CB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:rsidR="005D7BEC" w:rsidRPr="00B13A44" w:rsidRDefault="005D7BEC" w:rsidP="005D7BE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Bidi" w:hAnsiTheme="majorBidi" w:cstheme="majorBidi"/>
        </w:rPr>
      </w:pPr>
      <w:r w:rsidRPr="000D6A17">
        <w:rPr>
          <w:rFonts w:asciiTheme="majorBidi" w:hAnsiTheme="majorBidi" w:cstheme="majorBidi"/>
          <w:b/>
          <w:bCs/>
          <w:color w:val="000000"/>
        </w:rPr>
        <w:lastRenderedPageBreak/>
        <w:t>Table 1</w:t>
      </w:r>
      <w:r>
        <w:rPr>
          <w:rFonts w:asciiTheme="majorBidi" w:hAnsiTheme="majorBidi" w:cstheme="majorBidi"/>
          <w:b/>
          <w:bCs/>
          <w:color w:val="000000"/>
        </w:rPr>
        <w:t>S</w:t>
      </w:r>
      <w:r w:rsidRPr="000D6A17">
        <w:rPr>
          <w:rFonts w:asciiTheme="majorBidi" w:hAnsiTheme="majorBidi" w:cstheme="majorBidi"/>
          <w:b/>
          <w:bCs/>
          <w:color w:val="000000"/>
        </w:rPr>
        <w:t>:</w:t>
      </w:r>
      <w:r w:rsidRPr="00B13A44">
        <w:rPr>
          <w:rFonts w:asciiTheme="majorBidi" w:hAnsiTheme="majorBidi" w:cstheme="majorBidi"/>
          <w:color w:val="000000"/>
        </w:rPr>
        <w:t xml:space="preserve"> Scales for the burn wound healing in untreated and treated groups of second-degree burn according to histopathological parameters.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3623"/>
      </w:tblGrid>
      <w:tr w:rsidR="005D7BEC" w:rsidRPr="00B13A44" w:rsidTr="00FC523D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D7BEC" w:rsidRPr="00B13A44" w:rsidRDefault="005D7BEC" w:rsidP="00FC523D">
            <w:pPr>
              <w:pStyle w:val="Default"/>
              <w:jc w:val="both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  <w:b/>
                <w:bCs/>
              </w:rPr>
              <w:t xml:space="preserve">Sum of components variables 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D7BEC" w:rsidRPr="00B13A44" w:rsidRDefault="005D7BEC" w:rsidP="00FC523D">
            <w:pPr>
              <w:pStyle w:val="Default"/>
              <w:jc w:val="both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  <w:b/>
                <w:bCs/>
              </w:rPr>
              <w:t xml:space="preserve">Definition of Scales </w:t>
            </w:r>
          </w:p>
        </w:tc>
      </w:tr>
      <w:tr w:rsidR="005D7BEC" w:rsidRPr="00B13A44" w:rsidTr="00FC523D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BEC" w:rsidRPr="00B13A44" w:rsidRDefault="005D7BEC" w:rsidP="00FC523D">
            <w:pPr>
              <w:pStyle w:val="Default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>1- Granulation tissue extent (7 parameters)   [(-3) -18] on 7</w:t>
            </w:r>
            <w:r w:rsidRPr="00B13A44">
              <w:rPr>
                <w:rFonts w:asciiTheme="majorBidi" w:hAnsiTheme="majorBidi" w:cstheme="majorBidi"/>
                <w:vertAlign w:val="superscript"/>
              </w:rPr>
              <w:t>th</w:t>
            </w:r>
            <w:r w:rsidRPr="00B13A44">
              <w:rPr>
                <w:rFonts w:asciiTheme="majorBidi" w:hAnsiTheme="majorBidi" w:cstheme="majorBidi"/>
              </w:rPr>
              <w:t xml:space="preserve"> day post-burn injury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BEC" w:rsidRPr="00B13A44" w:rsidRDefault="005D7BEC" w:rsidP="00FC523D">
            <w:pPr>
              <w:pStyle w:val="Default"/>
              <w:ind w:left="175"/>
              <w:jc w:val="both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 xml:space="preserve">(-3-0) = not healing </w:t>
            </w:r>
          </w:p>
          <w:p w:rsidR="005D7BEC" w:rsidRPr="00B13A44" w:rsidRDefault="005D7BEC" w:rsidP="00FC523D">
            <w:pPr>
              <w:pStyle w:val="Default"/>
              <w:ind w:left="175"/>
              <w:jc w:val="both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 xml:space="preserve">(1-4) = low </w:t>
            </w:r>
          </w:p>
          <w:p w:rsidR="005D7BEC" w:rsidRPr="00B13A44" w:rsidRDefault="005D7BEC" w:rsidP="00FC523D">
            <w:pPr>
              <w:pStyle w:val="Default"/>
              <w:ind w:left="175"/>
              <w:jc w:val="both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 xml:space="preserve">(5-12) = moderate healing </w:t>
            </w:r>
          </w:p>
          <w:p w:rsidR="005D7BEC" w:rsidRPr="00B13A44" w:rsidRDefault="005D7BEC" w:rsidP="00FC523D">
            <w:pPr>
              <w:pStyle w:val="Default"/>
              <w:ind w:left="175"/>
              <w:jc w:val="both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 xml:space="preserve">(13-18) = good wound healing </w:t>
            </w:r>
          </w:p>
        </w:tc>
      </w:tr>
      <w:tr w:rsidR="005D7BEC" w:rsidRPr="00B13A44" w:rsidTr="00FC523D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BEC" w:rsidRPr="00B13A44" w:rsidRDefault="005D7BEC" w:rsidP="00FC523D">
            <w:pPr>
              <w:pStyle w:val="Default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>2- Re-epithelization  (6 parameters) [0-18] on 7</w:t>
            </w:r>
            <w:r w:rsidRPr="00B13A44">
              <w:rPr>
                <w:rFonts w:asciiTheme="majorBidi" w:hAnsiTheme="majorBidi" w:cstheme="majorBidi"/>
                <w:vertAlign w:val="superscript"/>
              </w:rPr>
              <w:t>th</w:t>
            </w:r>
            <w:r w:rsidRPr="00B13A44">
              <w:rPr>
                <w:rFonts w:asciiTheme="majorBidi" w:hAnsiTheme="majorBidi" w:cstheme="majorBidi"/>
              </w:rPr>
              <w:t xml:space="preserve"> day post-burn injury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BEC" w:rsidRPr="00B13A44" w:rsidRDefault="005D7BEC" w:rsidP="00FC523D">
            <w:pPr>
              <w:pStyle w:val="Default"/>
              <w:ind w:left="175"/>
              <w:jc w:val="both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 xml:space="preserve">0 = not healing </w:t>
            </w:r>
          </w:p>
          <w:p w:rsidR="005D7BEC" w:rsidRPr="00B13A44" w:rsidRDefault="005D7BEC" w:rsidP="00FC523D">
            <w:pPr>
              <w:pStyle w:val="Default"/>
              <w:ind w:left="175"/>
              <w:jc w:val="both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 xml:space="preserve">(1-6) = low </w:t>
            </w:r>
          </w:p>
          <w:p w:rsidR="005D7BEC" w:rsidRPr="00B13A44" w:rsidRDefault="005D7BEC" w:rsidP="00FC523D">
            <w:pPr>
              <w:pStyle w:val="Default"/>
              <w:ind w:left="175"/>
              <w:jc w:val="both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 xml:space="preserve">(7-12) = moderate healing </w:t>
            </w:r>
          </w:p>
          <w:p w:rsidR="005D7BEC" w:rsidRPr="00B13A44" w:rsidRDefault="005D7BEC" w:rsidP="00FC523D">
            <w:pPr>
              <w:pStyle w:val="Default"/>
              <w:ind w:left="175"/>
              <w:jc w:val="both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 xml:space="preserve">(13-18) = good wound healing </w:t>
            </w:r>
          </w:p>
        </w:tc>
      </w:tr>
      <w:tr w:rsidR="005D7BEC" w:rsidRPr="00B13A44" w:rsidTr="00FC523D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BEC" w:rsidRPr="00B13A44" w:rsidRDefault="005D7BEC" w:rsidP="00FC523D">
            <w:pPr>
              <w:pStyle w:val="Default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>3-New dermis (5 parameters)  [0-15] at 21</w:t>
            </w:r>
            <w:r w:rsidRPr="00B13A44">
              <w:rPr>
                <w:rFonts w:asciiTheme="majorBidi" w:hAnsiTheme="majorBidi" w:cstheme="majorBidi"/>
                <w:vertAlign w:val="superscript"/>
              </w:rPr>
              <w:t>st</w:t>
            </w:r>
            <w:r w:rsidRPr="00B13A44">
              <w:rPr>
                <w:rFonts w:asciiTheme="majorBidi" w:hAnsiTheme="majorBidi" w:cstheme="majorBidi"/>
              </w:rPr>
              <w:t xml:space="preserve"> day post-burn injury time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BEC" w:rsidRPr="00B13A44" w:rsidRDefault="005D7BEC" w:rsidP="00FC523D">
            <w:pPr>
              <w:pStyle w:val="Default"/>
              <w:ind w:left="175"/>
              <w:jc w:val="both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 xml:space="preserve">0 = not healing </w:t>
            </w:r>
          </w:p>
          <w:p w:rsidR="005D7BEC" w:rsidRPr="00B13A44" w:rsidRDefault="005D7BEC" w:rsidP="00FC523D">
            <w:pPr>
              <w:pStyle w:val="Default"/>
              <w:ind w:left="175"/>
              <w:jc w:val="both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 xml:space="preserve">(1-5) = low </w:t>
            </w:r>
          </w:p>
          <w:p w:rsidR="005D7BEC" w:rsidRPr="00B13A44" w:rsidRDefault="005D7BEC" w:rsidP="00FC523D">
            <w:pPr>
              <w:pStyle w:val="Default"/>
              <w:ind w:left="175"/>
              <w:jc w:val="both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 xml:space="preserve">(6-10) = moderate healing </w:t>
            </w:r>
          </w:p>
          <w:p w:rsidR="005D7BEC" w:rsidRPr="00B13A44" w:rsidRDefault="005D7BEC" w:rsidP="00FC523D">
            <w:pPr>
              <w:pStyle w:val="Default"/>
              <w:ind w:left="175"/>
              <w:jc w:val="both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 xml:space="preserve">(11-15) = good wound healing </w:t>
            </w:r>
          </w:p>
        </w:tc>
      </w:tr>
      <w:tr w:rsidR="005D7BEC" w:rsidRPr="00B13A44" w:rsidTr="00FC523D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BEC" w:rsidRPr="00B13A44" w:rsidRDefault="005D7BEC" w:rsidP="00FC523D">
            <w:pPr>
              <w:pStyle w:val="Default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>4-Sum of three components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BEC" w:rsidRPr="00B13A44" w:rsidRDefault="005D7BEC" w:rsidP="00FC523D">
            <w:pPr>
              <w:pStyle w:val="Default"/>
              <w:ind w:left="175"/>
              <w:jc w:val="both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 xml:space="preserve">(-3) - 0 = not healing </w:t>
            </w:r>
          </w:p>
          <w:p w:rsidR="005D7BEC" w:rsidRPr="00B13A44" w:rsidRDefault="005D7BEC" w:rsidP="00FC523D">
            <w:pPr>
              <w:pStyle w:val="Default"/>
              <w:ind w:left="175"/>
              <w:jc w:val="both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 xml:space="preserve">(1-18) = low </w:t>
            </w:r>
          </w:p>
          <w:p w:rsidR="005D7BEC" w:rsidRPr="00B13A44" w:rsidRDefault="005D7BEC" w:rsidP="00FC523D">
            <w:pPr>
              <w:pStyle w:val="Default"/>
              <w:ind w:left="175"/>
              <w:jc w:val="both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 xml:space="preserve">(19-37) = moderate healing </w:t>
            </w:r>
          </w:p>
          <w:p w:rsidR="005D7BEC" w:rsidRPr="00B13A44" w:rsidRDefault="005D7BEC" w:rsidP="00FC523D">
            <w:pPr>
              <w:pStyle w:val="Default"/>
              <w:ind w:left="175"/>
              <w:jc w:val="both"/>
              <w:rPr>
                <w:rFonts w:asciiTheme="majorBidi" w:hAnsiTheme="majorBidi" w:cstheme="majorBidi"/>
              </w:rPr>
            </w:pPr>
            <w:r w:rsidRPr="00B13A44">
              <w:rPr>
                <w:rFonts w:asciiTheme="majorBidi" w:hAnsiTheme="majorBidi" w:cstheme="majorBidi"/>
              </w:rPr>
              <w:t xml:space="preserve">(38-57) = good wound healing </w:t>
            </w:r>
          </w:p>
        </w:tc>
      </w:tr>
    </w:tbl>
    <w:p w:rsidR="005D7BEC" w:rsidRPr="00B13A44" w:rsidRDefault="005D7BEC" w:rsidP="005D7BEC">
      <w:pPr>
        <w:spacing w:line="480" w:lineRule="auto"/>
        <w:jc w:val="right"/>
        <w:rPr>
          <w:rFonts w:asciiTheme="majorBidi" w:hAnsiTheme="majorBidi" w:cstheme="majorBidi"/>
          <w:lang w:bidi="ar-EG"/>
        </w:rPr>
      </w:pPr>
    </w:p>
    <w:p w:rsidR="005D7BEC" w:rsidRDefault="005D7BEC" w:rsidP="00CD41CB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:rsidR="00D8782D" w:rsidRDefault="00D8782D" w:rsidP="00CD41CB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:rsidR="00D8782D" w:rsidRDefault="00D8782D" w:rsidP="00CD41CB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:rsidR="00CD41CB" w:rsidRPr="00CD41CB" w:rsidRDefault="00181906" w:rsidP="00CD41CB">
      <w:pPr>
        <w:spacing w:before="240"/>
        <w:jc w:val="center"/>
        <w:rPr>
          <w:rFonts w:ascii="Arial" w:hAnsi="Arial" w:cs="Arial"/>
        </w:rPr>
      </w:pPr>
      <w:r w:rsidRPr="00CD41CB">
        <w:rPr>
          <w:rFonts w:ascii="Arial" w:hAnsi="Arial" w:cs="Arial"/>
          <w:noProof/>
        </w:rPr>
        <w:lastRenderedPageBreak/>
        <w:drawing>
          <wp:inline distT="0" distB="0" distL="0" distR="0">
            <wp:extent cx="5341620" cy="3177540"/>
            <wp:effectExtent l="0" t="0" r="0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CB" w:rsidRPr="00CD41CB" w:rsidRDefault="00E56012" w:rsidP="00327638">
      <w:pPr>
        <w:tabs>
          <w:tab w:val="left" w:pos="434"/>
          <w:tab w:val="center" w:pos="4249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</w:rPr>
        <w:t>Fig.</w:t>
      </w:r>
      <w:r w:rsidR="00CD41CB" w:rsidRPr="00CD41CB">
        <w:rPr>
          <w:rFonts w:ascii="Times New Roman" w:hAnsi="Times New Roman"/>
          <w:b/>
          <w:bCs/>
          <w:color w:val="000000"/>
        </w:rPr>
        <w:t xml:space="preserve"> </w:t>
      </w:r>
      <w:r w:rsidR="00327638">
        <w:rPr>
          <w:rFonts w:ascii="Times New Roman" w:hAnsi="Times New Roman"/>
          <w:b/>
          <w:bCs/>
          <w:color w:val="000000"/>
        </w:rPr>
        <w:t>1</w:t>
      </w:r>
      <w:r w:rsidR="00CD41CB" w:rsidRPr="00CD41CB">
        <w:rPr>
          <w:rFonts w:ascii="Times New Roman" w:hAnsi="Times New Roman"/>
          <w:b/>
          <w:bCs/>
          <w:color w:val="000000"/>
        </w:rPr>
        <w:t>S:</w:t>
      </w:r>
      <w:r w:rsidR="00CD41CB" w:rsidRPr="00CD41CB">
        <w:rPr>
          <w:rFonts w:ascii="Times New Roman" w:hAnsi="Times New Roman"/>
        </w:rPr>
        <w:t xml:space="preserve"> The condition of skin burn wounds at the beginning of therapy (3</w:t>
      </w:r>
      <w:r w:rsidR="00CD41CB" w:rsidRPr="00CD41CB">
        <w:rPr>
          <w:rFonts w:ascii="Times New Roman" w:hAnsi="Times New Roman"/>
          <w:vertAlign w:val="superscript"/>
        </w:rPr>
        <w:t>rd</w:t>
      </w:r>
      <w:r w:rsidR="00CD41CB" w:rsidRPr="00CD41CB">
        <w:rPr>
          <w:rFonts w:ascii="Times New Roman" w:hAnsi="Times New Roman"/>
        </w:rPr>
        <w:t xml:space="preserve"> day).</w:t>
      </w:r>
    </w:p>
    <w:p w:rsidR="00CD41CB" w:rsidRPr="00CD41CB" w:rsidRDefault="00CD41CB" w:rsidP="00CD41CB">
      <w:pPr>
        <w:tabs>
          <w:tab w:val="left" w:pos="434"/>
          <w:tab w:val="center" w:pos="4249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:rsidR="00CD41CB" w:rsidRPr="00CD41CB" w:rsidRDefault="00CD41CB" w:rsidP="00CD41CB">
      <w:pPr>
        <w:tabs>
          <w:tab w:val="left" w:pos="434"/>
          <w:tab w:val="center" w:pos="4249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:rsidR="00CD41CB" w:rsidRPr="00CD41CB" w:rsidRDefault="00181906" w:rsidP="00672F0B">
      <w:pPr>
        <w:tabs>
          <w:tab w:val="left" w:pos="434"/>
          <w:tab w:val="center" w:pos="4249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</w:rPr>
      </w:pPr>
      <w:r w:rsidRPr="00CD41CB">
        <w:rPr>
          <w:rFonts w:ascii="Times New Roman" w:hAnsi="Times New Roman"/>
          <w:noProof/>
        </w:rPr>
        <w:drawing>
          <wp:inline distT="0" distB="0" distL="0" distR="0">
            <wp:extent cx="5334000" cy="2857500"/>
            <wp:effectExtent l="0" t="0" r="0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B63" w:rsidRPr="00CD41CB" w:rsidRDefault="00E56012" w:rsidP="00327638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</w:rPr>
        <w:t>Fig.</w:t>
      </w:r>
      <w:r w:rsidR="00CD41CB" w:rsidRPr="00CD41CB">
        <w:rPr>
          <w:rFonts w:ascii="Times New Roman" w:hAnsi="Times New Roman"/>
          <w:b/>
          <w:bCs/>
          <w:color w:val="000000"/>
        </w:rPr>
        <w:t xml:space="preserve"> </w:t>
      </w:r>
      <w:r w:rsidR="00327638">
        <w:rPr>
          <w:rFonts w:ascii="Times New Roman" w:hAnsi="Times New Roman"/>
          <w:b/>
          <w:bCs/>
          <w:color w:val="000000"/>
        </w:rPr>
        <w:t>2</w:t>
      </w:r>
      <w:r w:rsidR="00CD41CB" w:rsidRPr="00CD41CB">
        <w:rPr>
          <w:rFonts w:ascii="Times New Roman" w:hAnsi="Times New Roman"/>
          <w:b/>
          <w:bCs/>
          <w:color w:val="000000"/>
        </w:rPr>
        <w:t>S:</w:t>
      </w:r>
      <w:r w:rsidR="00CD41CB" w:rsidRPr="00CD41CB">
        <w:rPr>
          <w:rFonts w:ascii="Times New Roman" w:hAnsi="Times New Roman"/>
        </w:rPr>
        <w:t xml:space="preserve"> The condition of skin burn wounds at the end of therapy period (21</w:t>
      </w:r>
      <w:r w:rsidR="00CD41CB" w:rsidRPr="00CD41CB">
        <w:rPr>
          <w:rFonts w:ascii="Times New Roman" w:hAnsi="Times New Roman"/>
          <w:vertAlign w:val="superscript"/>
        </w:rPr>
        <w:t>st</w:t>
      </w:r>
      <w:r w:rsidR="00CD41CB" w:rsidRPr="00CD41CB">
        <w:rPr>
          <w:rFonts w:ascii="Times New Roman" w:hAnsi="Times New Roman"/>
        </w:rPr>
        <w:t xml:space="preserve"> day).</w:t>
      </w:r>
    </w:p>
    <w:sectPr w:rsidR="00610B63" w:rsidRPr="00CD41CB" w:rsidSect="005B13B0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A13" w:rsidRDefault="007C5A13" w:rsidP="00684D85">
      <w:pPr>
        <w:spacing w:after="0" w:line="240" w:lineRule="auto"/>
      </w:pPr>
      <w:r>
        <w:separator/>
      </w:r>
    </w:p>
  </w:endnote>
  <w:endnote w:type="continuationSeparator" w:id="0">
    <w:p w:rsidR="007C5A13" w:rsidRDefault="007C5A13" w:rsidP="00684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ich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3B0" w:rsidRDefault="008761C4">
    <w:pPr>
      <w:pStyle w:val="Footer"/>
      <w:jc w:val="center"/>
    </w:pPr>
    <w:r>
      <w:fldChar w:fldCharType="begin"/>
    </w:r>
    <w:r w:rsidR="005B13B0">
      <w:instrText xml:space="preserve"> PAGE   \* MERGEFORMAT </w:instrText>
    </w:r>
    <w:r>
      <w:fldChar w:fldCharType="separate"/>
    </w:r>
    <w:r w:rsidR="00DE681B" w:rsidRPr="00DE681B">
      <w:rPr>
        <w:noProof/>
        <w:lang w:val="zh-CN"/>
      </w:rPr>
      <w:t>2</w:t>
    </w:r>
    <w:r>
      <w:fldChar w:fldCharType="end"/>
    </w:r>
  </w:p>
  <w:p w:rsidR="00684D85" w:rsidRDefault="00684D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A13" w:rsidRDefault="007C5A13" w:rsidP="00684D85">
      <w:pPr>
        <w:spacing w:after="0" w:line="240" w:lineRule="auto"/>
      </w:pPr>
      <w:r>
        <w:separator/>
      </w:r>
    </w:p>
  </w:footnote>
  <w:footnote w:type="continuationSeparator" w:id="0">
    <w:p w:rsidR="007C5A13" w:rsidRDefault="007C5A13" w:rsidP="00684D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D4227"/>
    <w:multiLevelType w:val="hybridMultilevel"/>
    <w:tmpl w:val="4232DBF2"/>
    <w:lvl w:ilvl="0" w:tplc="C9CAC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2751D6E"/>
    <w:multiLevelType w:val="hybridMultilevel"/>
    <w:tmpl w:val="A8DC9722"/>
    <w:lvl w:ilvl="0" w:tplc="7CEE120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EF2"/>
    <w:rsid w:val="000026FB"/>
    <w:rsid w:val="00006A00"/>
    <w:rsid w:val="00021443"/>
    <w:rsid w:val="00023F03"/>
    <w:rsid w:val="00035CB4"/>
    <w:rsid w:val="00045A5D"/>
    <w:rsid w:val="00053B0A"/>
    <w:rsid w:val="00080C1A"/>
    <w:rsid w:val="00082348"/>
    <w:rsid w:val="000869FA"/>
    <w:rsid w:val="000C784B"/>
    <w:rsid w:val="000D4965"/>
    <w:rsid w:val="000D6268"/>
    <w:rsid w:val="000E72CE"/>
    <w:rsid w:val="000F7BDA"/>
    <w:rsid w:val="001141E7"/>
    <w:rsid w:val="001159BC"/>
    <w:rsid w:val="00125029"/>
    <w:rsid w:val="001271E1"/>
    <w:rsid w:val="00135032"/>
    <w:rsid w:val="001350A4"/>
    <w:rsid w:val="00136B59"/>
    <w:rsid w:val="00145386"/>
    <w:rsid w:val="00181906"/>
    <w:rsid w:val="001922FB"/>
    <w:rsid w:val="00192A85"/>
    <w:rsid w:val="001A255A"/>
    <w:rsid w:val="001D41C6"/>
    <w:rsid w:val="001F32C7"/>
    <w:rsid w:val="0021560E"/>
    <w:rsid w:val="00233EA2"/>
    <w:rsid w:val="002447F1"/>
    <w:rsid w:val="00244BAB"/>
    <w:rsid w:val="0027607D"/>
    <w:rsid w:val="00291A7A"/>
    <w:rsid w:val="00293347"/>
    <w:rsid w:val="00297B98"/>
    <w:rsid w:val="002C04CA"/>
    <w:rsid w:val="002D2568"/>
    <w:rsid w:val="002E10E0"/>
    <w:rsid w:val="002E4CE8"/>
    <w:rsid w:val="002F61BE"/>
    <w:rsid w:val="0031555B"/>
    <w:rsid w:val="003222CD"/>
    <w:rsid w:val="00327638"/>
    <w:rsid w:val="00344EF6"/>
    <w:rsid w:val="00345173"/>
    <w:rsid w:val="0036688B"/>
    <w:rsid w:val="0039384B"/>
    <w:rsid w:val="003A47DE"/>
    <w:rsid w:val="004247AF"/>
    <w:rsid w:val="00455452"/>
    <w:rsid w:val="00462317"/>
    <w:rsid w:val="00465689"/>
    <w:rsid w:val="0047753B"/>
    <w:rsid w:val="00487C96"/>
    <w:rsid w:val="00493124"/>
    <w:rsid w:val="004A459B"/>
    <w:rsid w:val="004F5D87"/>
    <w:rsid w:val="0051497F"/>
    <w:rsid w:val="005161DD"/>
    <w:rsid w:val="00543952"/>
    <w:rsid w:val="00544552"/>
    <w:rsid w:val="005464A1"/>
    <w:rsid w:val="00584C2E"/>
    <w:rsid w:val="0059627B"/>
    <w:rsid w:val="005A21B5"/>
    <w:rsid w:val="005A557C"/>
    <w:rsid w:val="005B13B0"/>
    <w:rsid w:val="005B7A6C"/>
    <w:rsid w:val="005C06EE"/>
    <w:rsid w:val="005C6D7E"/>
    <w:rsid w:val="005D7BEC"/>
    <w:rsid w:val="00600B39"/>
    <w:rsid w:val="006030CA"/>
    <w:rsid w:val="006060B8"/>
    <w:rsid w:val="00610B63"/>
    <w:rsid w:val="0061330E"/>
    <w:rsid w:val="0061510B"/>
    <w:rsid w:val="00626626"/>
    <w:rsid w:val="0064372F"/>
    <w:rsid w:val="00662B28"/>
    <w:rsid w:val="00672F0B"/>
    <w:rsid w:val="0067624B"/>
    <w:rsid w:val="00684D85"/>
    <w:rsid w:val="006A5C1D"/>
    <w:rsid w:val="006C7493"/>
    <w:rsid w:val="006C7FC6"/>
    <w:rsid w:val="006D72A9"/>
    <w:rsid w:val="006F1325"/>
    <w:rsid w:val="006F1C59"/>
    <w:rsid w:val="0071163F"/>
    <w:rsid w:val="0071263C"/>
    <w:rsid w:val="007260B1"/>
    <w:rsid w:val="007555B3"/>
    <w:rsid w:val="00767EF2"/>
    <w:rsid w:val="00770F6A"/>
    <w:rsid w:val="00777D5F"/>
    <w:rsid w:val="00786574"/>
    <w:rsid w:val="00794942"/>
    <w:rsid w:val="007C39E9"/>
    <w:rsid w:val="007C5A13"/>
    <w:rsid w:val="007D144A"/>
    <w:rsid w:val="007D418A"/>
    <w:rsid w:val="007D4B12"/>
    <w:rsid w:val="007E10D2"/>
    <w:rsid w:val="007E3CAA"/>
    <w:rsid w:val="007F065D"/>
    <w:rsid w:val="00805FB2"/>
    <w:rsid w:val="00814A9B"/>
    <w:rsid w:val="008156B9"/>
    <w:rsid w:val="008532C2"/>
    <w:rsid w:val="00871717"/>
    <w:rsid w:val="008761C4"/>
    <w:rsid w:val="008A1F8A"/>
    <w:rsid w:val="008D0464"/>
    <w:rsid w:val="008D16EA"/>
    <w:rsid w:val="008D1F9C"/>
    <w:rsid w:val="008F37EA"/>
    <w:rsid w:val="0093235D"/>
    <w:rsid w:val="009431D2"/>
    <w:rsid w:val="009450FE"/>
    <w:rsid w:val="0096536B"/>
    <w:rsid w:val="00980517"/>
    <w:rsid w:val="00982B81"/>
    <w:rsid w:val="00992F20"/>
    <w:rsid w:val="009A7333"/>
    <w:rsid w:val="009E3AB2"/>
    <w:rsid w:val="009F4C24"/>
    <w:rsid w:val="00A0104F"/>
    <w:rsid w:val="00A0261B"/>
    <w:rsid w:val="00A10567"/>
    <w:rsid w:val="00A274F0"/>
    <w:rsid w:val="00A35D2E"/>
    <w:rsid w:val="00A40BB9"/>
    <w:rsid w:val="00A40FD6"/>
    <w:rsid w:val="00A466EC"/>
    <w:rsid w:val="00A479E8"/>
    <w:rsid w:val="00A5095F"/>
    <w:rsid w:val="00A50DFF"/>
    <w:rsid w:val="00A6628F"/>
    <w:rsid w:val="00A670C3"/>
    <w:rsid w:val="00A7099D"/>
    <w:rsid w:val="00A7756D"/>
    <w:rsid w:val="00AB76D4"/>
    <w:rsid w:val="00AC0A0E"/>
    <w:rsid w:val="00AD18F7"/>
    <w:rsid w:val="00B05AAB"/>
    <w:rsid w:val="00B06520"/>
    <w:rsid w:val="00B2552D"/>
    <w:rsid w:val="00B348BF"/>
    <w:rsid w:val="00B4287C"/>
    <w:rsid w:val="00B4782A"/>
    <w:rsid w:val="00B81861"/>
    <w:rsid w:val="00B82F1F"/>
    <w:rsid w:val="00B91D9C"/>
    <w:rsid w:val="00B97BB3"/>
    <w:rsid w:val="00BA5659"/>
    <w:rsid w:val="00BC384A"/>
    <w:rsid w:val="00C05EC1"/>
    <w:rsid w:val="00C9114E"/>
    <w:rsid w:val="00CA7DA1"/>
    <w:rsid w:val="00CD14D1"/>
    <w:rsid w:val="00CD41CB"/>
    <w:rsid w:val="00CE64C4"/>
    <w:rsid w:val="00D0106F"/>
    <w:rsid w:val="00D01BA8"/>
    <w:rsid w:val="00D03D3D"/>
    <w:rsid w:val="00D15C01"/>
    <w:rsid w:val="00D166CA"/>
    <w:rsid w:val="00D42E7A"/>
    <w:rsid w:val="00D76BD8"/>
    <w:rsid w:val="00D8289C"/>
    <w:rsid w:val="00D8782D"/>
    <w:rsid w:val="00D90A45"/>
    <w:rsid w:val="00D94AC3"/>
    <w:rsid w:val="00DB7E04"/>
    <w:rsid w:val="00DD4280"/>
    <w:rsid w:val="00DE2E48"/>
    <w:rsid w:val="00DE681B"/>
    <w:rsid w:val="00E141AC"/>
    <w:rsid w:val="00E2285C"/>
    <w:rsid w:val="00E37D85"/>
    <w:rsid w:val="00E416E1"/>
    <w:rsid w:val="00E44D6C"/>
    <w:rsid w:val="00E554B7"/>
    <w:rsid w:val="00E56012"/>
    <w:rsid w:val="00E73453"/>
    <w:rsid w:val="00E76AE2"/>
    <w:rsid w:val="00E84689"/>
    <w:rsid w:val="00E92F22"/>
    <w:rsid w:val="00EC23BD"/>
    <w:rsid w:val="00EC4971"/>
    <w:rsid w:val="00EE7BAC"/>
    <w:rsid w:val="00F1264F"/>
    <w:rsid w:val="00F1327A"/>
    <w:rsid w:val="00F67D80"/>
    <w:rsid w:val="00F7249C"/>
    <w:rsid w:val="00F72DB7"/>
    <w:rsid w:val="00FB0941"/>
    <w:rsid w:val="00FB67A0"/>
    <w:rsid w:val="00FB7736"/>
    <w:rsid w:val="00FC3D0F"/>
    <w:rsid w:val="00FE5349"/>
    <w:rsid w:val="00FF3356"/>
    <w:rsid w:val="00FF6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3436752-DEFA-4E3B-AC69-2AF785DE3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520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9"/>
    <w:qFormat/>
    <w:rsid w:val="00767EF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9"/>
    <w:rsid w:val="00767EF2"/>
    <w:rPr>
      <w:rFonts w:ascii="Times New Roman" w:eastAsia="SimSun" w:hAnsi="Times New Roman" w:cs="Times New Roman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5A55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684D85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semiHidden/>
    <w:rsid w:val="00684D85"/>
    <w:rPr>
      <w:rFonts w:ascii="Calibri" w:eastAsia="SimSu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84D85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684D85"/>
    <w:rPr>
      <w:rFonts w:ascii="Calibri" w:eastAsia="SimSu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C1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A5C1D"/>
    <w:rPr>
      <w:rFonts w:ascii="Tahoma" w:eastAsia="SimSun" w:hAnsi="Tahoma" w:cs="Tahoma"/>
      <w:sz w:val="16"/>
      <w:szCs w:val="16"/>
    </w:rPr>
  </w:style>
  <w:style w:type="paragraph" w:customStyle="1" w:styleId="2">
    <w:name w:val="列出段落2"/>
    <w:basedOn w:val="Normal"/>
    <w:uiPriority w:val="34"/>
    <w:qFormat/>
    <w:rsid w:val="00D166CA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0F7BDA"/>
    <w:rPr>
      <w:rFonts w:ascii="SimSun"/>
      <w:sz w:val="18"/>
      <w:szCs w:val="18"/>
    </w:rPr>
  </w:style>
  <w:style w:type="character" w:customStyle="1" w:styleId="DocumentMapChar">
    <w:name w:val="Document Map Char"/>
    <w:link w:val="DocumentMap"/>
    <w:uiPriority w:val="99"/>
    <w:semiHidden/>
    <w:rsid w:val="000F7BDA"/>
    <w:rPr>
      <w:rFonts w:ascii="SimSun"/>
      <w:sz w:val="18"/>
      <w:szCs w:val="18"/>
      <w:lang w:eastAsia="en-US"/>
    </w:rPr>
  </w:style>
  <w:style w:type="character" w:customStyle="1" w:styleId="BDAbstractTitleChar">
    <w:name w:val="BD_Abstract_Title Char"/>
    <w:link w:val="BDAbstractTitle"/>
    <w:rsid w:val="00CD41CB"/>
    <w:rPr>
      <w:rFonts w:ascii="Arno Pro" w:hAnsi="Arno Pro"/>
      <w:b/>
      <w:kern w:val="21"/>
      <w:sz w:val="19"/>
    </w:rPr>
  </w:style>
  <w:style w:type="paragraph" w:customStyle="1" w:styleId="BDAbstractTitle">
    <w:name w:val="BD_Abstract_Title"/>
    <w:basedOn w:val="Normal"/>
    <w:link w:val="BDAbstractTitleChar"/>
    <w:rsid w:val="00CD41CB"/>
    <w:pPr>
      <w:pBdr>
        <w:top w:val="single" w:sz="4" w:space="1" w:color="auto"/>
        <w:bottom w:val="single" w:sz="4" w:space="1" w:color="auto"/>
      </w:pBdr>
      <w:spacing w:before="100" w:after="600" w:line="240" w:lineRule="auto"/>
      <w:jc w:val="both"/>
    </w:pPr>
    <w:rPr>
      <w:rFonts w:ascii="Arno Pro" w:hAnsi="Arno Pro"/>
      <w:b/>
      <w:kern w:val="21"/>
      <w:sz w:val="19"/>
      <w:szCs w:val="20"/>
    </w:rPr>
  </w:style>
  <w:style w:type="character" w:styleId="Hyperlink">
    <w:name w:val="Hyperlink"/>
    <w:uiPriority w:val="99"/>
    <w:unhideWhenUsed/>
    <w:rsid w:val="00CD41CB"/>
    <w:rPr>
      <w:color w:val="0000FF"/>
      <w:u w:val="single"/>
    </w:rPr>
  </w:style>
  <w:style w:type="paragraph" w:customStyle="1" w:styleId="EndNoteBibliography">
    <w:name w:val="EndNote Bibliography"/>
    <w:basedOn w:val="Normal"/>
    <w:link w:val="EndNoteBibliographyChar"/>
    <w:rsid w:val="00CD41CB"/>
    <w:pPr>
      <w:bidi/>
      <w:spacing w:line="240" w:lineRule="auto"/>
      <w:jc w:val="both"/>
    </w:pPr>
    <w:rPr>
      <w:rFonts w:eastAsia="Times New Roman"/>
      <w:noProof/>
      <w:sz w:val="20"/>
      <w:szCs w:val="20"/>
    </w:rPr>
  </w:style>
  <w:style w:type="character" w:customStyle="1" w:styleId="EndNoteBibliographyChar">
    <w:name w:val="EndNote Bibliography Char"/>
    <w:link w:val="EndNoteBibliography"/>
    <w:rsid w:val="00CD41CB"/>
    <w:rPr>
      <w:rFonts w:eastAsia="Times New Roman"/>
      <w:noProof/>
    </w:rPr>
  </w:style>
  <w:style w:type="paragraph" w:styleId="NormalWeb">
    <w:name w:val="Normal (Web)"/>
    <w:basedOn w:val="Normal"/>
    <w:uiPriority w:val="99"/>
    <w:unhideWhenUsed/>
    <w:rsid w:val="008F37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rticletitle">
    <w:name w:val="Article title"/>
    <w:basedOn w:val="Normal"/>
    <w:next w:val="Normal"/>
    <w:qFormat/>
    <w:rsid w:val="005161DD"/>
    <w:pPr>
      <w:spacing w:after="120" w:line="360" w:lineRule="auto"/>
    </w:pPr>
    <w:rPr>
      <w:rFonts w:ascii="Times New Roman" w:eastAsia="Times New Roman" w:hAnsi="Times New Roman"/>
      <w:b/>
      <w:sz w:val="28"/>
      <w:szCs w:val="24"/>
      <w:lang w:val="en-GB" w:eastAsia="en-GB"/>
    </w:rPr>
  </w:style>
  <w:style w:type="paragraph" w:customStyle="1" w:styleId="Correspondencedetails">
    <w:name w:val="Correspondence details"/>
    <w:basedOn w:val="Normal"/>
    <w:uiPriority w:val="99"/>
    <w:qFormat/>
    <w:rsid w:val="00544552"/>
    <w:pPr>
      <w:spacing w:before="240" w:after="0" w:line="36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Keywords">
    <w:name w:val="Keywords"/>
    <w:basedOn w:val="Normal"/>
    <w:next w:val="Normal"/>
    <w:uiPriority w:val="99"/>
    <w:qFormat/>
    <w:rsid w:val="003222CD"/>
    <w:pPr>
      <w:spacing w:before="240" w:after="240" w:line="360" w:lineRule="auto"/>
      <w:ind w:left="720" w:right="567"/>
    </w:pPr>
    <w:rPr>
      <w:rFonts w:ascii="Times New Roman" w:eastAsia="Times New Roman" w:hAnsi="Times New Roman"/>
      <w:szCs w:val="24"/>
      <w:lang w:val="en-GB" w:eastAsia="en-GB"/>
    </w:rPr>
  </w:style>
  <w:style w:type="paragraph" w:customStyle="1" w:styleId="Default">
    <w:name w:val="Default"/>
    <w:link w:val="DefaultChar"/>
    <w:rsid w:val="005D7BE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5D7BEC"/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63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researchgate.net/deref/http%3A%2F%2Fdx.doi.org%2F10.1002%2Fardp.20150003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1550</Words>
  <Characters>8838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10368</CharactersWithSpaces>
  <SharedDoc>false</SharedDoc>
  <HLinks>
    <vt:vector size="12" baseType="variant">
      <vt:variant>
        <vt:i4>2031715</vt:i4>
      </vt:variant>
      <vt:variant>
        <vt:i4>3</vt:i4>
      </vt:variant>
      <vt:variant>
        <vt:i4>0</vt:i4>
      </vt:variant>
      <vt:variant>
        <vt:i4>5</vt:i4>
      </vt:variant>
      <vt:variant>
        <vt:lpwstr>mailto:gohar@mans.edu.eg</vt:lpwstr>
      </vt:variant>
      <vt:variant>
        <vt:lpwstr/>
      </vt:variant>
      <vt:variant>
        <vt:i4>3276830</vt:i4>
      </vt:variant>
      <vt:variant>
        <vt:i4>0</vt:i4>
      </vt:variant>
      <vt:variant>
        <vt:i4>0</vt:i4>
      </vt:variant>
      <vt:variant>
        <vt:i4>5</vt:i4>
      </vt:variant>
      <vt:variant>
        <vt:lpwstr>mailto:ahmedgohar99@yahoo.com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dr.mona</cp:lastModifiedBy>
  <cp:revision>2</cp:revision>
  <cp:lastPrinted>2015-01-22T09:56:00Z</cp:lastPrinted>
  <dcterms:created xsi:type="dcterms:W3CDTF">2022-10-12T19:12:00Z</dcterms:created>
  <dcterms:modified xsi:type="dcterms:W3CDTF">2022-10-12T19:12:00Z</dcterms:modified>
</cp:coreProperties>
</file>