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784A" w14:textId="434BFEDC" w:rsidR="0030275C" w:rsidRDefault="009215AB" w:rsidP="0030275C">
      <w:pPr>
        <w:spacing w:line="360" w:lineRule="auto"/>
        <w:rPr>
          <w:b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Supporting information</w:t>
      </w:r>
    </w:p>
    <w:p w14:paraId="341A586D" w14:textId="77777777" w:rsidR="00C841A2" w:rsidRPr="004528AF" w:rsidRDefault="002B5069" w:rsidP="004528AF">
      <w:pPr>
        <w:ind w:right="-180"/>
        <w:rPr>
          <w:rFonts w:asciiTheme="majorBidi" w:hAnsiTheme="majorBidi" w:cstheme="majorBidi"/>
          <w:b/>
          <w:bCs/>
        </w:rPr>
      </w:pPr>
      <w:r w:rsidRPr="004528AF">
        <w:rPr>
          <w:rFonts w:asciiTheme="majorBidi" w:hAnsiTheme="majorBidi" w:cstheme="majorBidi"/>
          <w:b/>
          <w:bCs/>
        </w:rPr>
        <w:t xml:space="preserve">S1 </w:t>
      </w:r>
      <w:r w:rsidR="00C826E8" w:rsidRPr="004528AF">
        <w:rPr>
          <w:rFonts w:asciiTheme="majorBidi" w:hAnsiTheme="majorBidi" w:cstheme="majorBidi"/>
          <w:b/>
          <w:bCs/>
        </w:rPr>
        <w:t xml:space="preserve">Table. </w:t>
      </w:r>
    </w:p>
    <w:p w14:paraId="6D7A6842" w14:textId="2024854B" w:rsidR="00C826E8" w:rsidRPr="004528AF" w:rsidRDefault="00C826E8" w:rsidP="004528AF">
      <w:pPr>
        <w:ind w:right="-180"/>
        <w:rPr>
          <w:rFonts w:eastAsia="AJDNJ M+ MTSY"/>
        </w:rPr>
      </w:pPr>
      <w:r w:rsidRPr="004528AF">
        <w:rPr>
          <w:rFonts w:asciiTheme="majorBidi" w:hAnsiTheme="majorBidi" w:cstheme="majorBidi"/>
        </w:rPr>
        <w:t>Components</w:t>
      </w:r>
      <w:r w:rsidRPr="004528AF">
        <w:rPr>
          <w:rFonts w:eastAsia="AJDNJ M+ MTSY"/>
        </w:rPr>
        <w:t xml:space="preserve"> of </w:t>
      </w:r>
      <w:r w:rsidR="003424C0" w:rsidRPr="004528AF">
        <w:rPr>
          <w:rFonts w:eastAsia="AJDNJ M+ MTSY"/>
        </w:rPr>
        <w:t xml:space="preserve">rats’ </w:t>
      </w:r>
      <w:r w:rsidRPr="004528AF">
        <w:rPr>
          <w:rFonts w:eastAsia="AJDNJ M+ MTSY"/>
        </w:rPr>
        <w:t>standard diet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260"/>
      </w:tblGrid>
      <w:tr w:rsidR="00C826E8" w:rsidRPr="000042F0" w14:paraId="2077ABC7" w14:textId="77777777" w:rsidTr="00C841A2">
        <w:tc>
          <w:tcPr>
            <w:tcW w:w="3420" w:type="dxa"/>
          </w:tcPr>
          <w:p w14:paraId="0BFEA49D" w14:textId="77777777" w:rsidR="00C826E8" w:rsidRPr="000042F0" w:rsidRDefault="00C826E8" w:rsidP="000D5B4B">
            <w:pPr>
              <w:jc w:val="both"/>
              <w:rPr>
                <w:rFonts w:eastAsia="AJDNJ M+ MTSY"/>
                <w:b/>
                <w:bCs/>
              </w:rPr>
            </w:pPr>
            <w:r w:rsidRPr="000042F0">
              <w:rPr>
                <w:rFonts w:eastAsia="AJDNJ M+ MTSY"/>
                <w:b/>
                <w:bCs/>
              </w:rPr>
              <w:t>Components</w:t>
            </w:r>
          </w:p>
        </w:tc>
        <w:tc>
          <w:tcPr>
            <w:tcW w:w="1260" w:type="dxa"/>
          </w:tcPr>
          <w:p w14:paraId="42FDDF98" w14:textId="77777777" w:rsidR="00C826E8" w:rsidRPr="000042F0" w:rsidRDefault="00C826E8" w:rsidP="000D5B4B">
            <w:pPr>
              <w:jc w:val="both"/>
              <w:rPr>
                <w:rFonts w:eastAsia="AJDNJ M+ MTSY"/>
                <w:b/>
                <w:bCs/>
              </w:rPr>
            </w:pPr>
            <w:r w:rsidRPr="000042F0">
              <w:rPr>
                <w:rFonts w:eastAsia="AJDNJ M+ MTSY"/>
                <w:b/>
                <w:bCs/>
              </w:rPr>
              <w:t>g/kg diet</w:t>
            </w:r>
          </w:p>
        </w:tc>
      </w:tr>
      <w:tr w:rsidR="00C826E8" w:rsidRPr="003C4096" w14:paraId="30C06CC8" w14:textId="77777777" w:rsidTr="00C841A2">
        <w:tc>
          <w:tcPr>
            <w:tcW w:w="3420" w:type="dxa"/>
          </w:tcPr>
          <w:p w14:paraId="2A05B7CD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Corn flour</w:t>
            </w:r>
          </w:p>
        </w:tc>
        <w:tc>
          <w:tcPr>
            <w:tcW w:w="1260" w:type="dxa"/>
          </w:tcPr>
          <w:p w14:paraId="38690A64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529.5</w:t>
            </w:r>
          </w:p>
        </w:tc>
      </w:tr>
      <w:tr w:rsidR="00C826E8" w:rsidRPr="003C4096" w14:paraId="41F28D9F" w14:textId="77777777" w:rsidTr="00C841A2">
        <w:tc>
          <w:tcPr>
            <w:tcW w:w="3420" w:type="dxa"/>
          </w:tcPr>
          <w:p w14:paraId="6119EEF3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Casein</w:t>
            </w:r>
          </w:p>
        </w:tc>
        <w:tc>
          <w:tcPr>
            <w:tcW w:w="1260" w:type="dxa"/>
          </w:tcPr>
          <w:p w14:paraId="3AF0C641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200</w:t>
            </w:r>
          </w:p>
        </w:tc>
      </w:tr>
      <w:tr w:rsidR="00C826E8" w:rsidRPr="003C4096" w14:paraId="6E469CF7" w14:textId="77777777" w:rsidTr="00C841A2">
        <w:tc>
          <w:tcPr>
            <w:tcW w:w="3420" w:type="dxa"/>
          </w:tcPr>
          <w:p w14:paraId="112FD6B8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Sucrose</w:t>
            </w:r>
          </w:p>
        </w:tc>
        <w:tc>
          <w:tcPr>
            <w:tcW w:w="1260" w:type="dxa"/>
          </w:tcPr>
          <w:p w14:paraId="734D0F08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100</w:t>
            </w:r>
          </w:p>
        </w:tc>
      </w:tr>
      <w:tr w:rsidR="00C826E8" w:rsidRPr="003C4096" w14:paraId="44536B2C" w14:textId="77777777" w:rsidTr="00C841A2">
        <w:tc>
          <w:tcPr>
            <w:tcW w:w="3420" w:type="dxa"/>
          </w:tcPr>
          <w:p w14:paraId="2600A1B3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Soybean oil</w:t>
            </w:r>
          </w:p>
        </w:tc>
        <w:tc>
          <w:tcPr>
            <w:tcW w:w="1260" w:type="dxa"/>
          </w:tcPr>
          <w:p w14:paraId="01480E26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70</w:t>
            </w:r>
          </w:p>
        </w:tc>
      </w:tr>
      <w:tr w:rsidR="00C826E8" w:rsidRPr="003C4096" w14:paraId="1D1754A1" w14:textId="77777777" w:rsidTr="00C841A2">
        <w:tc>
          <w:tcPr>
            <w:tcW w:w="3420" w:type="dxa"/>
          </w:tcPr>
          <w:p w14:paraId="4F4346A2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Cellulose</w:t>
            </w:r>
          </w:p>
        </w:tc>
        <w:tc>
          <w:tcPr>
            <w:tcW w:w="1260" w:type="dxa"/>
          </w:tcPr>
          <w:p w14:paraId="62F99D60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50</w:t>
            </w:r>
          </w:p>
        </w:tc>
      </w:tr>
      <w:tr w:rsidR="00C826E8" w:rsidRPr="003C4096" w14:paraId="303FE887" w14:textId="77777777" w:rsidTr="00C841A2">
        <w:tc>
          <w:tcPr>
            <w:tcW w:w="3420" w:type="dxa"/>
          </w:tcPr>
          <w:p w14:paraId="2316556B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Mineral mix</w:t>
            </w:r>
          </w:p>
        </w:tc>
        <w:tc>
          <w:tcPr>
            <w:tcW w:w="1260" w:type="dxa"/>
          </w:tcPr>
          <w:p w14:paraId="2AD7B4CD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35</w:t>
            </w:r>
          </w:p>
        </w:tc>
      </w:tr>
      <w:tr w:rsidR="00C826E8" w:rsidRPr="003C4096" w14:paraId="24F1E5DB" w14:textId="77777777" w:rsidTr="00C841A2">
        <w:tc>
          <w:tcPr>
            <w:tcW w:w="3420" w:type="dxa"/>
          </w:tcPr>
          <w:p w14:paraId="1EC84488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Vitamin mix</w:t>
            </w:r>
          </w:p>
        </w:tc>
        <w:tc>
          <w:tcPr>
            <w:tcW w:w="1260" w:type="dxa"/>
          </w:tcPr>
          <w:p w14:paraId="03F9E5CF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10</w:t>
            </w:r>
          </w:p>
        </w:tc>
      </w:tr>
      <w:tr w:rsidR="00C826E8" w:rsidRPr="003C4096" w14:paraId="1AD8F9CA" w14:textId="77777777" w:rsidTr="00C841A2">
        <w:tc>
          <w:tcPr>
            <w:tcW w:w="3420" w:type="dxa"/>
          </w:tcPr>
          <w:p w14:paraId="6F0BCA1D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L-cystine</w:t>
            </w:r>
          </w:p>
        </w:tc>
        <w:tc>
          <w:tcPr>
            <w:tcW w:w="1260" w:type="dxa"/>
          </w:tcPr>
          <w:p w14:paraId="3255A649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3</w:t>
            </w:r>
          </w:p>
        </w:tc>
      </w:tr>
      <w:tr w:rsidR="00C826E8" w:rsidRPr="003C4096" w14:paraId="19A6C2AC" w14:textId="77777777" w:rsidTr="00C841A2">
        <w:tc>
          <w:tcPr>
            <w:tcW w:w="3420" w:type="dxa"/>
          </w:tcPr>
          <w:p w14:paraId="10F387DD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Choline</w:t>
            </w:r>
          </w:p>
        </w:tc>
        <w:tc>
          <w:tcPr>
            <w:tcW w:w="1260" w:type="dxa"/>
          </w:tcPr>
          <w:p w14:paraId="69AFD5B7" w14:textId="77777777" w:rsidR="00C826E8" w:rsidRPr="003C4096" w:rsidRDefault="00C826E8" w:rsidP="000D5B4B">
            <w:pPr>
              <w:jc w:val="both"/>
              <w:rPr>
                <w:rFonts w:eastAsia="AJDNJ M+ MTSY"/>
              </w:rPr>
            </w:pPr>
            <w:r w:rsidRPr="003C4096">
              <w:rPr>
                <w:rFonts w:eastAsia="AJDNJ M+ MTSY"/>
              </w:rPr>
              <w:t>2.5</w:t>
            </w:r>
          </w:p>
        </w:tc>
      </w:tr>
    </w:tbl>
    <w:p w14:paraId="410810D4" w14:textId="6A984146" w:rsidR="00C826E8" w:rsidRDefault="00C826E8" w:rsidP="0030275C">
      <w:pPr>
        <w:spacing w:line="360" w:lineRule="auto"/>
        <w:rPr>
          <w:b/>
          <w:bCs/>
          <w:color w:val="000000"/>
          <w:kern w:val="36"/>
          <w:sz w:val="28"/>
          <w:szCs w:val="28"/>
          <w:shd w:val="clear" w:color="auto" w:fill="FFFFFF"/>
        </w:rPr>
      </w:pPr>
    </w:p>
    <w:p w14:paraId="4F13A56E" w14:textId="77777777" w:rsidR="00B66707" w:rsidRDefault="00B66707" w:rsidP="00C841A2">
      <w:pPr>
        <w:ind w:right="-180"/>
        <w:rPr>
          <w:rFonts w:asciiTheme="majorBidi" w:hAnsiTheme="majorBidi" w:cstheme="majorBidi"/>
          <w:b/>
          <w:bCs/>
        </w:rPr>
      </w:pPr>
    </w:p>
    <w:p w14:paraId="0CD9D42B" w14:textId="4A6D2526" w:rsidR="00C841A2" w:rsidRDefault="002B5069" w:rsidP="00C841A2">
      <w:pPr>
        <w:ind w:right="-180"/>
        <w:rPr>
          <w:rFonts w:asciiTheme="majorBidi" w:hAnsiTheme="majorBidi" w:cstheme="majorBidi"/>
          <w:b/>
          <w:bCs/>
        </w:rPr>
      </w:pPr>
      <w:r w:rsidRPr="002B5069">
        <w:rPr>
          <w:rFonts w:asciiTheme="majorBidi" w:hAnsiTheme="majorBidi" w:cstheme="majorBidi"/>
          <w:b/>
          <w:bCs/>
        </w:rPr>
        <w:t>S</w:t>
      </w:r>
      <w:r w:rsidR="009F6BF1">
        <w:rPr>
          <w:rFonts w:asciiTheme="majorBidi" w:hAnsiTheme="majorBidi" w:cstheme="majorBidi"/>
          <w:b/>
          <w:bCs/>
        </w:rPr>
        <w:t>2</w:t>
      </w:r>
      <w:r w:rsidRPr="002B5069">
        <w:rPr>
          <w:rFonts w:asciiTheme="majorBidi" w:hAnsiTheme="majorBidi" w:cstheme="majorBidi"/>
          <w:b/>
          <w:bCs/>
        </w:rPr>
        <w:t xml:space="preserve"> </w:t>
      </w:r>
      <w:r w:rsidR="000E7AEE" w:rsidRPr="002B5069">
        <w:rPr>
          <w:rFonts w:asciiTheme="majorBidi" w:hAnsiTheme="majorBidi" w:cstheme="majorBidi"/>
          <w:b/>
          <w:bCs/>
        </w:rPr>
        <w:t>Table</w:t>
      </w:r>
    </w:p>
    <w:p w14:paraId="02938647" w14:textId="67DC6349" w:rsidR="000E7AEE" w:rsidRPr="00C841A2" w:rsidRDefault="00523923" w:rsidP="00C841A2">
      <w:pPr>
        <w:ind w:right="-180"/>
        <w:rPr>
          <w:rFonts w:asciiTheme="majorBidi" w:hAnsiTheme="majorBidi" w:cstheme="majorBidi"/>
        </w:rPr>
      </w:pPr>
      <w:r w:rsidRPr="00C841A2">
        <w:rPr>
          <w:rFonts w:asciiTheme="majorBidi" w:hAnsiTheme="majorBidi" w:cstheme="majorBidi"/>
        </w:rPr>
        <w:t>Values of the h</w:t>
      </w:r>
      <w:r w:rsidR="000E7AEE" w:rsidRPr="00C841A2">
        <w:rPr>
          <w:rFonts w:asciiTheme="majorBidi" w:hAnsiTheme="majorBidi" w:cstheme="majorBidi"/>
        </w:rPr>
        <w:t xml:space="preserve">istopathological scoring of </w:t>
      </w:r>
      <w:r w:rsidR="002B5069" w:rsidRPr="00C841A2">
        <w:rPr>
          <w:rFonts w:asciiTheme="majorBidi" w:hAnsiTheme="majorBidi" w:cstheme="majorBidi"/>
        </w:rPr>
        <w:t xml:space="preserve">the </w:t>
      </w:r>
      <w:r w:rsidR="000E7AEE" w:rsidRPr="00C841A2">
        <w:rPr>
          <w:rFonts w:asciiTheme="majorBidi" w:hAnsiTheme="majorBidi" w:cstheme="majorBidi"/>
        </w:rPr>
        <w:t>parotid and submandibular glands in H&amp;E-stained sections</w:t>
      </w:r>
      <w:r w:rsidRPr="00C841A2">
        <w:rPr>
          <w:rFonts w:asciiTheme="majorBidi" w:hAnsiTheme="majorBidi" w:cstheme="majorBidi"/>
        </w:rPr>
        <w:t xml:space="preserve"> as median and interquartile range</w:t>
      </w:r>
      <w:r w:rsidR="000E7AEE" w:rsidRPr="00C841A2">
        <w:rPr>
          <w:rFonts w:asciiTheme="majorBidi" w:hAnsiTheme="majorBidi" w:cstheme="majorBidi"/>
        </w:rPr>
        <w:t>.</w:t>
      </w:r>
    </w:p>
    <w:tbl>
      <w:tblPr>
        <w:tblStyle w:val="TableGrid"/>
        <w:tblW w:w="1011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1756"/>
        <w:gridCol w:w="1016"/>
        <w:gridCol w:w="905"/>
        <w:gridCol w:w="1440"/>
        <w:gridCol w:w="1500"/>
        <w:gridCol w:w="1126"/>
        <w:gridCol w:w="835"/>
      </w:tblGrid>
      <w:tr w:rsidR="000E7AEE" w:rsidRPr="009D2FF7" w14:paraId="356E6B37" w14:textId="77777777" w:rsidTr="00A01118">
        <w:trPr>
          <w:trHeight w:val="20"/>
          <w:jc w:val="center"/>
        </w:trPr>
        <w:tc>
          <w:tcPr>
            <w:tcW w:w="1538" w:type="dxa"/>
            <w:vMerge w:val="restart"/>
          </w:tcPr>
          <w:p w14:paraId="7092F695" w14:textId="77777777" w:rsidR="000E7AEE" w:rsidRPr="009D2FF7" w:rsidRDefault="000E7AEE" w:rsidP="00A01118">
            <w:pPr>
              <w:rPr>
                <w:b/>
                <w:bCs/>
              </w:rPr>
            </w:pPr>
          </w:p>
          <w:p w14:paraId="510A9316" w14:textId="77777777" w:rsidR="000E7AEE" w:rsidRPr="009D2FF7" w:rsidRDefault="000E7AEE" w:rsidP="00A01118">
            <w:pPr>
              <w:rPr>
                <w:b/>
                <w:bCs/>
              </w:rPr>
            </w:pPr>
            <w:r w:rsidRPr="009D2FF7">
              <w:rPr>
                <w:b/>
                <w:bCs/>
              </w:rPr>
              <w:t>Parameter</w:t>
            </w:r>
          </w:p>
        </w:tc>
        <w:tc>
          <w:tcPr>
            <w:tcW w:w="1756" w:type="dxa"/>
            <w:vMerge w:val="restart"/>
          </w:tcPr>
          <w:p w14:paraId="1DB9A58F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</w:p>
          <w:p w14:paraId="76112E5F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Gland</w:t>
            </w:r>
          </w:p>
        </w:tc>
        <w:tc>
          <w:tcPr>
            <w:tcW w:w="4861" w:type="dxa"/>
            <w:gridSpan w:val="4"/>
          </w:tcPr>
          <w:p w14:paraId="0C2CE109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Group</w:t>
            </w:r>
          </w:p>
        </w:tc>
        <w:tc>
          <w:tcPr>
            <w:tcW w:w="1126" w:type="dxa"/>
            <w:vMerge w:val="restart"/>
          </w:tcPr>
          <w:p w14:paraId="30C1C6C0" w14:textId="77777777" w:rsidR="000E7AEE" w:rsidRPr="009D2FF7" w:rsidRDefault="000E7AEE" w:rsidP="00A01118">
            <w:pPr>
              <w:rPr>
                <w:b/>
                <w:bCs/>
              </w:rPr>
            </w:pPr>
            <w:r w:rsidRPr="009D2FF7">
              <w:rPr>
                <w:b/>
                <w:bCs/>
              </w:rPr>
              <w:t xml:space="preserve"> F Value</w:t>
            </w:r>
          </w:p>
        </w:tc>
        <w:tc>
          <w:tcPr>
            <w:tcW w:w="835" w:type="dxa"/>
            <w:vMerge w:val="restart"/>
          </w:tcPr>
          <w:p w14:paraId="14F27B3C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  <w:i/>
                <w:iCs/>
              </w:rPr>
              <w:t>P</w:t>
            </w:r>
            <w:r w:rsidRPr="009D2FF7">
              <w:rPr>
                <w:b/>
                <w:bCs/>
              </w:rPr>
              <w:t xml:space="preserve"> Value</w:t>
            </w:r>
          </w:p>
        </w:tc>
      </w:tr>
      <w:tr w:rsidR="000E7AEE" w:rsidRPr="009D2FF7" w14:paraId="2F098457" w14:textId="77777777" w:rsidTr="00A01118">
        <w:trPr>
          <w:trHeight w:val="251"/>
          <w:jc w:val="center"/>
        </w:trPr>
        <w:tc>
          <w:tcPr>
            <w:tcW w:w="1538" w:type="dxa"/>
            <w:vMerge/>
          </w:tcPr>
          <w:p w14:paraId="6813DC38" w14:textId="77777777" w:rsidR="000E7AEE" w:rsidRPr="009D2FF7" w:rsidRDefault="000E7AEE" w:rsidP="00A01118">
            <w:pPr>
              <w:rPr>
                <w:b/>
                <w:bCs/>
              </w:rPr>
            </w:pPr>
          </w:p>
        </w:tc>
        <w:tc>
          <w:tcPr>
            <w:tcW w:w="1756" w:type="dxa"/>
            <w:vMerge/>
          </w:tcPr>
          <w:p w14:paraId="5CF435DF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14:paraId="1FC38A93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Control</w:t>
            </w:r>
          </w:p>
        </w:tc>
        <w:tc>
          <w:tcPr>
            <w:tcW w:w="905" w:type="dxa"/>
          </w:tcPr>
          <w:p w14:paraId="2BA7E5B9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AA</w:t>
            </w:r>
          </w:p>
        </w:tc>
        <w:tc>
          <w:tcPr>
            <w:tcW w:w="1440" w:type="dxa"/>
          </w:tcPr>
          <w:p w14:paraId="6324A626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STZ</w:t>
            </w:r>
          </w:p>
        </w:tc>
        <w:tc>
          <w:tcPr>
            <w:tcW w:w="1500" w:type="dxa"/>
          </w:tcPr>
          <w:p w14:paraId="1006E5A3" w14:textId="77777777" w:rsidR="000E7AEE" w:rsidRPr="009D2FF7" w:rsidRDefault="000E7AEE" w:rsidP="00A01118">
            <w:pPr>
              <w:jc w:val="center"/>
              <w:rPr>
                <w:b/>
                <w:bCs/>
              </w:rPr>
            </w:pPr>
            <w:r w:rsidRPr="009D2FF7">
              <w:rPr>
                <w:b/>
                <w:bCs/>
              </w:rPr>
              <w:t>STZ+AA</w:t>
            </w:r>
          </w:p>
        </w:tc>
        <w:tc>
          <w:tcPr>
            <w:tcW w:w="1126" w:type="dxa"/>
            <w:vMerge/>
          </w:tcPr>
          <w:p w14:paraId="73A44BEB" w14:textId="77777777" w:rsidR="000E7AEE" w:rsidRPr="009D2FF7" w:rsidRDefault="000E7AEE" w:rsidP="00A01118">
            <w:pPr>
              <w:jc w:val="both"/>
              <w:rPr>
                <w:b/>
                <w:bCs/>
              </w:rPr>
            </w:pPr>
          </w:p>
        </w:tc>
        <w:tc>
          <w:tcPr>
            <w:tcW w:w="835" w:type="dxa"/>
            <w:vMerge/>
          </w:tcPr>
          <w:p w14:paraId="01016EEF" w14:textId="77777777" w:rsidR="000E7AEE" w:rsidRPr="009D2FF7" w:rsidRDefault="000E7AEE" w:rsidP="00A01118">
            <w:pPr>
              <w:jc w:val="both"/>
              <w:rPr>
                <w:b/>
                <w:bCs/>
              </w:rPr>
            </w:pPr>
          </w:p>
        </w:tc>
      </w:tr>
      <w:tr w:rsidR="000E7AEE" w:rsidRPr="009D2FF7" w14:paraId="325F8C22" w14:textId="77777777" w:rsidTr="00A01118">
        <w:trPr>
          <w:trHeight w:val="20"/>
          <w:jc w:val="center"/>
        </w:trPr>
        <w:tc>
          <w:tcPr>
            <w:tcW w:w="1538" w:type="dxa"/>
            <w:vMerge w:val="restart"/>
          </w:tcPr>
          <w:p w14:paraId="1B26DC52" w14:textId="77777777" w:rsidR="000E7AEE" w:rsidRPr="009D2FF7" w:rsidRDefault="000E7AEE" w:rsidP="00A01118"/>
          <w:p w14:paraId="3CDEE52F" w14:textId="77777777" w:rsidR="000E7AEE" w:rsidRPr="009D2FF7" w:rsidRDefault="000E7AEE" w:rsidP="00A01118">
            <w:r w:rsidRPr="009D2FF7">
              <w:t>Degenerated acini</w:t>
            </w:r>
          </w:p>
        </w:tc>
        <w:tc>
          <w:tcPr>
            <w:tcW w:w="1756" w:type="dxa"/>
          </w:tcPr>
          <w:p w14:paraId="4E0AFE6C" w14:textId="77777777" w:rsidR="000E7AEE" w:rsidRPr="009D2FF7" w:rsidRDefault="000E7AEE" w:rsidP="00A01118">
            <w:pPr>
              <w:spacing w:before="120"/>
            </w:pPr>
            <w:r w:rsidRPr="009D2FF7">
              <w:t>Parotid</w:t>
            </w:r>
          </w:p>
        </w:tc>
        <w:tc>
          <w:tcPr>
            <w:tcW w:w="1016" w:type="dxa"/>
          </w:tcPr>
          <w:p w14:paraId="16CF5C30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1(0.5-2.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2C1066F2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2(1.5-3.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0C4A0CA9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42(41-46.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0FD47275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14(11-</w:t>
            </w:r>
            <w:proofErr w:type="gramStart"/>
            <w:r w:rsidRPr="009D2FF7">
              <w:t>16)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6437BBC8" w14:textId="77777777" w:rsidR="000E7AEE" w:rsidRPr="009D2FF7" w:rsidRDefault="000E7AEE" w:rsidP="00A01118">
            <w:pPr>
              <w:spacing w:before="120"/>
            </w:pPr>
            <w:r w:rsidRPr="009D2FF7">
              <w:t>336.202</w:t>
            </w:r>
          </w:p>
        </w:tc>
        <w:tc>
          <w:tcPr>
            <w:tcW w:w="835" w:type="dxa"/>
          </w:tcPr>
          <w:p w14:paraId="492BDA39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1CD9F0F5" w14:textId="77777777" w:rsidTr="00A01118">
        <w:trPr>
          <w:trHeight w:val="530"/>
          <w:jc w:val="center"/>
        </w:trPr>
        <w:tc>
          <w:tcPr>
            <w:tcW w:w="1538" w:type="dxa"/>
            <w:vMerge/>
          </w:tcPr>
          <w:p w14:paraId="168FBC83" w14:textId="77777777" w:rsidR="000E7AEE" w:rsidRPr="009D2FF7" w:rsidRDefault="000E7AEE" w:rsidP="00A01118"/>
        </w:tc>
        <w:tc>
          <w:tcPr>
            <w:tcW w:w="1756" w:type="dxa"/>
          </w:tcPr>
          <w:p w14:paraId="233F9DFF" w14:textId="77777777" w:rsidR="000E7AEE" w:rsidRPr="009D2FF7" w:rsidRDefault="000E7AEE" w:rsidP="00A01118">
            <w:pPr>
              <w:spacing w:before="120"/>
            </w:pPr>
            <w:r w:rsidRPr="009D2FF7">
              <w:t>Submandibular</w:t>
            </w:r>
          </w:p>
        </w:tc>
        <w:tc>
          <w:tcPr>
            <w:tcW w:w="1016" w:type="dxa"/>
          </w:tcPr>
          <w:p w14:paraId="5A9D0026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3(2-4.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541B9AB4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3(2.5-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420AD09E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70(68.5-</w:t>
            </w:r>
            <w:proofErr w:type="gramStart"/>
            <w:r w:rsidRPr="009D2FF7">
              <w:t>73)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33F22673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14(12-16.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6BB9D694" w14:textId="77777777" w:rsidR="000E7AEE" w:rsidRPr="009D2FF7" w:rsidRDefault="000E7AEE" w:rsidP="00A01118">
            <w:pPr>
              <w:spacing w:before="120"/>
            </w:pPr>
            <w:r w:rsidRPr="009D2FF7">
              <w:t>1536.573</w:t>
            </w:r>
          </w:p>
        </w:tc>
        <w:tc>
          <w:tcPr>
            <w:tcW w:w="835" w:type="dxa"/>
          </w:tcPr>
          <w:p w14:paraId="5369CC92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75804B34" w14:textId="77777777" w:rsidTr="00A01118">
        <w:trPr>
          <w:trHeight w:val="20"/>
          <w:jc w:val="center"/>
        </w:trPr>
        <w:tc>
          <w:tcPr>
            <w:tcW w:w="1538" w:type="dxa"/>
            <w:vMerge w:val="restart"/>
          </w:tcPr>
          <w:p w14:paraId="6FFD9A67" w14:textId="77777777" w:rsidR="000E7AEE" w:rsidRPr="009D2FF7" w:rsidRDefault="000E7AEE" w:rsidP="00A01118">
            <w:pPr>
              <w:ind w:left="-18"/>
            </w:pPr>
          </w:p>
          <w:p w14:paraId="6F19527B" w14:textId="77777777" w:rsidR="000E7AEE" w:rsidRPr="009D2FF7" w:rsidRDefault="000E7AEE" w:rsidP="00A01118">
            <w:pPr>
              <w:ind w:left="-18"/>
            </w:pPr>
            <w:r w:rsidRPr="009D2FF7">
              <w:t>Vacuolated cells</w:t>
            </w:r>
          </w:p>
        </w:tc>
        <w:tc>
          <w:tcPr>
            <w:tcW w:w="1756" w:type="dxa"/>
          </w:tcPr>
          <w:p w14:paraId="397E3CA2" w14:textId="77777777" w:rsidR="000E7AEE" w:rsidRPr="009D2FF7" w:rsidRDefault="000E7AEE" w:rsidP="00A01118">
            <w:pPr>
              <w:spacing w:before="120"/>
            </w:pPr>
            <w:r w:rsidRPr="009D2FF7">
              <w:t>Parotid</w:t>
            </w:r>
          </w:p>
        </w:tc>
        <w:tc>
          <w:tcPr>
            <w:tcW w:w="1016" w:type="dxa"/>
          </w:tcPr>
          <w:p w14:paraId="3AE8E7BF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2(0.5-3.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140F5C83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2(0.5-</w:t>
            </w:r>
            <w:proofErr w:type="gramStart"/>
            <w:r w:rsidRPr="009D2FF7">
              <w:t>3)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2C5CC410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113(106-120.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7DDA75AC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42(39.5-44.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40E13BD9" w14:textId="77777777" w:rsidR="000E7AEE" w:rsidRPr="009D2FF7" w:rsidRDefault="000E7AEE" w:rsidP="00A01118">
            <w:pPr>
              <w:spacing w:before="120"/>
            </w:pPr>
            <w:r w:rsidRPr="009D2FF7">
              <w:t>676.923</w:t>
            </w:r>
          </w:p>
        </w:tc>
        <w:tc>
          <w:tcPr>
            <w:tcW w:w="835" w:type="dxa"/>
          </w:tcPr>
          <w:p w14:paraId="1BC1D11F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2E911B7A" w14:textId="77777777" w:rsidTr="00A01118">
        <w:trPr>
          <w:trHeight w:val="377"/>
          <w:jc w:val="center"/>
        </w:trPr>
        <w:tc>
          <w:tcPr>
            <w:tcW w:w="1538" w:type="dxa"/>
            <w:vMerge/>
          </w:tcPr>
          <w:p w14:paraId="55D20BE4" w14:textId="77777777" w:rsidR="000E7AEE" w:rsidRPr="009D2FF7" w:rsidRDefault="000E7AEE" w:rsidP="00A01118"/>
        </w:tc>
        <w:tc>
          <w:tcPr>
            <w:tcW w:w="1756" w:type="dxa"/>
          </w:tcPr>
          <w:p w14:paraId="761F095C" w14:textId="77777777" w:rsidR="000E7AEE" w:rsidRPr="009D2FF7" w:rsidRDefault="000E7AEE" w:rsidP="00A01118">
            <w:pPr>
              <w:spacing w:before="120"/>
            </w:pPr>
            <w:r w:rsidRPr="009D2FF7">
              <w:t>Submandibular</w:t>
            </w:r>
          </w:p>
        </w:tc>
        <w:tc>
          <w:tcPr>
            <w:tcW w:w="1016" w:type="dxa"/>
          </w:tcPr>
          <w:p w14:paraId="1FB6FEF7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5(2-6.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4A601CFA" w14:textId="77777777" w:rsidR="000E7AEE" w:rsidRPr="009D2FF7" w:rsidRDefault="000E7AEE" w:rsidP="00A01118">
            <w:pPr>
              <w:spacing w:before="120"/>
            </w:pPr>
            <w:r w:rsidRPr="009D2FF7">
              <w:t xml:space="preserve">5(3- </w:t>
            </w:r>
            <w:proofErr w:type="gramStart"/>
            <w:r w:rsidRPr="009D2FF7">
              <w:t>8)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64447517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145(141.5-149.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314CDE21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54(51.5-56.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6CF26B9B" w14:textId="77777777" w:rsidR="000E7AEE" w:rsidRPr="009D2FF7" w:rsidRDefault="000E7AEE" w:rsidP="00A01118">
            <w:pPr>
              <w:spacing w:before="120"/>
            </w:pPr>
            <w:r w:rsidRPr="009D2FF7">
              <w:t>2145.806</w:t>
            </w:r>
          </w:p>
        </w:tc>
        <w:tc>
          <w:tcPr>
            <w:tcW w:w="835" w:type="dxa"/>
          </w:tcPr>
          <w:p w14:paraId="2B170E6C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6563011A" w14:textId="77777777" w:rsidTr="00A01118">
        <w:trPr>
          <w:trHeight w:val="332"/>
          <w:jc w:val="center"/>
        </w:trPr>
        <w:tc>
          <w:tcPr>
            <w:tcW w:w="1538" w:type="dxa"/>
            <w:vMerge w:val="restart"/>
          </w:tcPr>
          <w:p w14:paraId="0FD7F3C9" w14:textId="77777777" w:rsidR="000E7AEE" w:rsidRPr="009D2FF7" w:rsidRDefault="000E7AEE" w:rsidP="00A01118"/>
          <w:p w14:paraId="6AB01F0A" w14:textId="77777777" w:rsidR="000E7AEE" w:rsidRPr="009D2FF7" w:rsidRDefault="000E7AEE" w:rsidP="00A01118">
            <w:r w:rsidRPr="009D2FF7">
              <w:t>Leukocytic Infiltration</w:t>
            </w:r>
          </w:p>
        </w:tc>
        <w:tc>
          <w:tcPr>
            <w:tcW w:w="1756" w:type="dxa"/>
          </w:tcPr>
          <w:p w14:paraId="01A3A53E" w14:textId="77777777" w:rsidR="000E7AEE" w:rsidRPr="009D2FF7" w:rsidRDefault="000E7AEE" w:rsidP="00A01118">
            <w:pPr>
              <w:spacing w:before="120"/>
            </w:pPr>
            <w:r w:rsidRPr="009D2FF7">
              <w:t>Parotid</w:t>
            </w:r>
          </w:p>
        </w:tc>
        <w:tc>
          <w:tcPr>
            <w:tcW w:w="1016" w:type="dxa"/>
          </w:tcPr>
          <w:p w14:paraId="7E06F07F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2(0.5-4.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6B452216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3(1-5.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5639853A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90(81-99.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77B8D6D0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40(34-</w:t>
            </w:r>
            <w:proofErr w:type="gramStart"/>
            <w:r w:rsidRPr="009D2FF7">
              <w:t>48)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0915D41D" w14:textId="77777777" w:rsidR="000E7AEE" w:rsidRPr="009D2FF7" w:rsidRDefault="000E7AEE" w:rsidP="00A01118">
            <w:pPr>
              <w:spacing w:before="120"/>
            </w:pPr>
            <w:r w:rsidRPr="009D2FF7">
              <w:t>220.303</w:t>
            </w:r>
          </w:p>
        </w:tc>
        <w:tc>
          <w:tcPr>
            <w:tcW w:w="835" w:type="dxa"/>
          </w:tcPr>
          <w:p w14:paraId="25771B67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2BF08E01" w14:textId="77777777" w:rsidTr="00A01118">
        <w:trPr>
          <w:trHeight w:val="395"/>
          <w:jc w:val="center"/>
        </w:trPr>
        <w:tc>
          <w:tcPr>
            <w:tcW w:w="1538" w:type="dxa"/>
            <w:vMerge/>
          </w:tcPr>
          <w:p w14:paraId="222E359D" w14:textId="77777777" w:rsidR="000E7AEE" w:rsidRPr="009D2FF7" w:rsidRDefault="000E7AEE" w:rsidP="00A01118"/>
        </w:tc>
        <w:tc>
          <w:tcPr>
            <w:tcW w:w="1756" w:type="dxa"/>
          </w:tcPr>
          <w:p w14:paraId="61CB827A" w14:textId="77777777" w:rsidR="000E7AEE" w:rsidRPr="009D2FF7" w:rsidRDefault="000E7AEE" w:rsidP="00A01118">
            <w:pPr>
              <w:spacing w:before="120"/>
            </w:pPr>
            <w:r w:rsidRPr="009D2FF7">
              <w:t>Submandibular</w:t>
            </w:r>
          </w:p>
        </w:tc>
        <w:tc>
          <w:tcPr>
            <w:tcW w:w="1016" w:type="dxa"/>
          </w:tcPr>
          <w:p w14:paraId="5759763C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6(3.5-8.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1E19B590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4(1-7.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5B572004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62(59.5-67.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387416F7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25(21-28.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58A1CF94" w14:textId="77777777" w:rsidR="000E7AEE" w:rsidRPr="009D2FF7" w:rsidRDefault="000E7AEE" w:rsidP="00A01118">
            <w:pPr>
              <w:spacing w:before="120"/>
            </w:pPr>
            <w:r w:rsidRPr="009D2FF7">
              <w:t>277.524</w:t>
            </w:r>
          </w:p>
        </w:tc>
        <w:tc>
          <w:tcPr>
            <w:tcW w:w="835" w:type="dxa"/>
          </w:tcPr>
          <w:p w14:paraId="52A55667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77EBB575" w14:textId="77777777" w:rsidTr="00A01118">
        <w:trPr>
          <w:trHeight w:val="530"/>
          <w:jc w:val="center"/>
        </w:trPr>
        <w:tc>
          <w:tcPr>
            <w:tcW w:w="1538" w:type="dxa"/>
            <w:vMerge w:val="restart"/>
          </w:tcPr>
          <w:p w14:paraId="46847502" w14:textId="77777777" w:rsidR="000E7AEE" w:rsidRPr="009D2FF7" w:rsidRDefault="000E7AEE" w:rsidP="00A01118"/>
          <w:p w14:paraId="6289B3DA" w14:textId="77777777" w:rsidR="000E7AEE" w:rsidRPr="009D2FF7" w:rsidRDefault="000E7AEE" w:rsidP="00A01118">
            <w:r w:rsidRPr="009D2FF7">
              <w:t>Congested vessels</w:t>
            </w:r>
          </w:p>
        </w:tc>
        <w:tc>
          <w:tcPr>
            <w:tcW w:w="1756" w:type="dxa"/>
          </w:tcPr>
          <w:p w14:paraId="57C5A223" w14:textId="77777777" w:rsidR="000E7AEE" w:rsidRPr="009D2FF7" w:rsidRDefault="000E7AEE" w:rsidP="00A01118">
            <w:pPr>
              <w:spacing w:before="120"/>
            </w:pPr>
            <w:r w:rsidRPr="009D2FF7">
              <w:t>Parotid</w:t>
            </w:r>
          </w:p>
        </w:tc>
        <w:tc>
          <w:tcPr>
            <w:tcW w:w="1016" w:type="dxa"/>
          </w:tcPr>
          <w:p w14:paraId="53EA00CA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0(0-0.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532D2AAF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0(0-</w:t>
            </w:r>
            <w:proofErr w:type="gramStart"/>
            <w:r w:rsidRPr="009D2FF7">
              <w:t>1)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06CB6B99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14(12.5-</w:t>
            </w:r>
            <w:proofErr w:type="gramStart"/>
            <w:r w:rsidRPr="009D2FF7">
              <w:t>16)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44EB6EE6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7(6.5-</w:t>
            </w:r>
            <w:proofErr w:type="gramStart"/>
            <w:r w:rsidRPr="009D2FF7">
              <w:t>8)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170A4EBD" w14:textId="77777777" w:rsidR="000E7AEE" w:rsidRPr="009D2FF7" w:rsidRDefault="000E7AEE" w:rsidP="00A01118">
            <w:pPr>
              <w:spacing w:before="120"/>
            </w:pPr>
            <w:r w:rsidRPr="009D2FF7">
              <w:t>180.517</w:t>
            </w:r>
            <w:r w:rsidRPr="009D2FF7">
              <w:tab/>
            </w:r>
          </w:p>
        </w:tc>
        <w:tc>
          <w:tcPr>
            <w:tcW w:w="835" w:type="dxa"/>
          </w:tcPr>
          <w:p w14:paraId="017B72B2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  <w:tr w:rsidR="000E7AEE" w:rsidRPr="009D2FF7" w14:paraId="0B01A749" w14:textId="77777777" w:rsidTr="00A01118">
        <w:trPr>
          <w:trHeight w:val="530"/>
          <w:jc w:val="center"/>
        </w:trPr>
        <w:tc>
          <w:tcPr>
            <w:tcW w:w="1538" w:type="dxa"/>
            <w:vMerge/>
          </w:tcPr>
          <w:p w14:paraId="289D3C72" w14:textId="77777777" w:rsidR="000E7AEE" w:rsidRPr="009D2FF7" w:rsidRDefault="000E7AEE" w:rsidP="00A01118">
            <w:pPr>
              <w:rPr>
                <w:b/>
                <w:bCs/>
              </w:rPr>
            </w:pPr>
          </w:p>
        </w:tc>
        <w:tc>
          <w:tcPr>
            <w:tcW w:w="1756" w:type="dxa"/>
          </w:tcPr>
          <w:p w14:paraId="3324B8DB" w14:textId="77777777" w:rsidR="000E7AEE" w:rsidRPr="009D2FF7" w:rsidRDefault="000E7AEE" w:rsidP="00A01118">
            <w:pPr>
              <w:spacing w:before="120"/>
            </w:pPr>
            <w:r w:rsidRPr="009D2FF7">
              <w:t>Submandibular</w:t>
            </w:r>
          </w:p>
        </w:tc>
        <w:tc>
          <w:tcPr>
            <w:tcW w:w="1016" w:type="dxa"/>
          </w:tcPr>
          <w:p w14:paraId="22D4826D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1(0-</w:t>
            </w:r>
            <w:proofErr w:type="gramStart"/>
            <w:r w:rsidRPr="009D2FF7">
              <w:t>1)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905" w:type="dxa"/>
          </w:tcPr>
          <w:p w14:paraId="4D9C5368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1(0-1.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0138A563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>18(16-19.</w:t>
            </w:r>
            <w:proofErr w:type="gramStart"/>
            <w:r w:rsidRPr="009D2FF7">
              <w:t>5)</w:t>
            </w:r>
            <w:r w:rsidRPr="009D2FF7">
              <w:rPr>
                <w:vertAlign w:val="superscript"/>
              </w:rPr>
              <w:t>c</w:t>
            </w:r>
            <w:proofErr w:type="gramEnd"/>
          </w:p>
        </w:tc>
        <w:tc>
          <w:tcPr>
            <w:tcW w:w="1500" w:type="dxa"/>
          </w:tcPr>
          <w:p w14:paraId="752D69F4" w14:textId="77777777" w:rsidR="000E7AEE" w:rsidRPr="009D2FF7" w:rsidRDefault="000E7AEE" w:rsidP="00A01118">
            <w:pPr>
              <w:spacing w:before="120"/>
              <w:rPr>
                <w:vertAlign w:val="superscript"/>
              </w:rPr>
            </w:pPr>
            <w:r w:rsidRPr="009D2FF7">
              <w:t xml:space="preserve">8(6.5- </w:t>
            </w:r>
            <w:proofErr w:type="gramStart"/>
            <w:r w:rsidRPr="009D2FF7">
              <w:t>9)</w:t>
            </w:r>
            <w:r w:rsidRPr="009D2FF7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126" w:type="dxa"/>
          </w:tcPr>
          <w:p w14:paraId="6A46AF2C" w14:textId="77777777" w:rsidR="000E7AEE" w:rsidRPr="009D2FF7" w:rsidRDefault="000E7AEE" w:rsidP="00A01118">
            <w:pPr>
              <w:spacing w:before="120"/>
            </w:pPr>
            <w:r w:rsidRPr="009D2FF7">
              <w:t>204.615</w:t>
            </w:r>
          </w:p>
        </w:tc>
        <w:tc>
          <w:tcPr>
            <w:tcW w:w="835" w:type="dxa"/>
          </w:tcPr>
          <w:p w14:paraId="34BB2831" w14:textId="77777777" w:rsidR="000E7AEE" w:rsidRPr="009D2FF7" w:rsidRDefault="000E7AEE" w:rsidP="00A01118">
            <w:pPr>
              <w:spacing w:before="120"/>
            </w:pPr>
            <w:r w:rsidRPr="009D2FF7">
              <w:t>0.000</w:t>
            </w:r>
          </w:p>
        </w:tc>
      </w:tr>
    </w:tbl>
    <w:p w14:paraId="6C360B6D" w14:textId="1463CA3B" w:rsidR="000E7AEE" w:rsidRDefault="000E7AEE" w:rsidP="000E7AEE">
      <w:pPr>
        <w:jc w:val="both"/>
        <w:rPr>
          <w:rFonts w:asciiTheme="majorBidi" w:hAnsiTheme="majorBidi" w:cstheme="majorBidi"/>
          <w:sz w:val="22"/>
          <w:szCs w:val="22"/>
        </w:rPr>
      </w:pPr>
      <w:r w:rsidRPr="00E84CE7">
        <w:rPr>
          <w:rFonts w:asciiTheme="majorBidi" w:hAnsiTheme="majorBidi" w:cstheme="majorBidi"/>
          <w:sz w:val="22"/>
          <w:szCs w:val="22"/>
        </w:rPr>
        <w:t xml:space="preserve">*Different superscripts indicate significant difference at </w:t>
      </w:r>
      <w:bookmarkStart w:id="0" w:name="_Hlk95999268"/>
      <w:r>
        <w:rPr>
          <w:rFonts w:asciiTheme="majorBidi" w:hAnsiTheme="majorBidi" w:cstheme="majorBidi"/>
          <w:i/>
          <w:iCs/>
          <w:sz w:val="22"/>
          <w:szCs w:val="22"/>
        </w:rPr>
        <w:t>p</w:t>
      </w:r>
      <w:r w:rsidRPr="00E84CE7">
        <w:rPr>
          <w:rFonts w:asciiTheme="majorBidi" w:hAnsiTheme="majorBidi" w:cstheme="majorBidi"/>
          <w:sz w:val="22"/>
          <w:szCs w:val="22"/>
        </w:rPr>
        <w:t xml:space="preserve"> ≤ 0.05</w:t>
      </w:r>
      <w:bookmarkEnd w:id="0"/>
      <w:r>
        <w:rPr>
          <w:rFonts w:asciiTheme="majorBidi" w:hAnsiTheme="majorBidi" w:cstheme="majorBidi"/>
          <w:sz w:val="22"/>
          <w:szCs w:val="22"/>
        </w:rPr>
        <w:t>.</w:t>
      </w:r>
    </w:p>
    <w:p w14:paraId="5351E544" w14:textId="07D54583" w:rsidR="00C841A2" w:rsidRDefault="00C841A2" w:rsidP="000E7AEE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2BC91778" w14:textId="4F452619" w:rsidR="009F6BF1" w:rsidRPr="008F6BE9" w:rsidRDefault="009F6BF1" w:rsidP="009F6BF1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S3 </w:t>
      </w:r>
      <w:r w:rsidRPr="008F6BE9">
        <w:rPr>
          <w:b/>
          <w:bCs/>
          <w:color w:val="000000" w:themeColor="text1"/>
        </w:rPr>
        <w:t xml:space="preserve">Table </w:t>
      </w:r>
    </w:p>
    <w:p w14:paraId="5C961203" w14:textId="77777777" w:rsidR="009F6BF1" w:rsidRPr="008F6BE9" w:rsidRDefault="009F6BF1" w:rsidP="009F6BF1">
      <w:pPr>
        <w:spacing w:line="360" w:lineRule="auto"/>
        <w:rPr>
          <w:color w:val="000000" w:themeColor="text1"/>
        </w:rPr>
      </w:pPr>
      <w:r w:rsidRPr="008F6BE9">
        <w:rPr>
          <w:color w:val="000000" w:themeColor="text1"/>
        </w:rPr>
        <w:t>Effect of STZ injection on blood glucose levels (mg/dl) as mean ± SD</w:t>
      </w:r>
      <w:bookmarkStart w:id="1" w:name="OLE_LINK1"/>
      <w:r w:rsidRPr="008F6BE9">
        <w:rPr>
          <w:color w:val="000000" w:themeColor="text1"/>
        </w:rPr>
        <w:t>.</w:t>
      </w:r>
      <w:bookmarkEnd w:id="1"/>
    </w:p>
    <w:tbl>
      <w:tblPr>
        <w:tblStyle w:val="TableGrid"/>
        <w:tblW w:w="4633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32"/>
        <w:gridCol w:w="1404"/>
        <w:gridCol w:w="1404"/>
        <w:gridCol w:w="1403"/>
        <w:gridCol w:w="1913"/>
      </w:tblGrid>
      <w:tr w:rsidR="009F6BF1" w:rsidRPr="008F6BE9" w14:paraId="3ED828BB" w14:textId="77777777" w:rsidTr="00B24DF3">
        <w:tc>
          <w:tcPr>
            <w:tcW w:w="1050" w:type="pct"/>
          </w:tcPr>
          <w:p w14:paraId="043DD882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Group</w:t>
            </w:r>
          </w:p>
        </w:tc>
        <w:tc>
          <w:tcPr>
            <w:tcW w:w="790" w:type="pct"/>
          </w:tcPr>
          <w:p w14:paraId="53A7976B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Time 0</w:t>
            </w:r>
          </w:p>
        </w:tc>
        <w:tc>
          <w:tcPr>
            <w:tcW w:w="724" w:type="pct"/>
          </w:tcPr>
          <w:p w14:paraId="5F68B371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Day 1</w:t>
            </w:r>
          </w:p>
        </w:tc>
        <w:tc>
          <w:tcPr>
            <w:tcW w:w="724" w:type="pct"/>
          </w:tcPr>
          <w:p w14:paraId="4EB8F282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Day 4</w:t>
            </w:r>
          </w:p>
        </w:tc>
        <w:tc>
          <w:tcPr>
            <w:tcW w:w="724" w:type="pct"/>
          </w:tcPr>
          <w:p w14:paraId="283C33C1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Day 7</w:t>
            </w:r>
          </w:p>
        </w:tc>
        <w:tc>
          <w:tcPr>
            <w:tcW w:w="987" w:type="pct"/>
          </w:tcPr>
          <w:p w14:paraId="289A3461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After 8 weeks</w:t>
            </w:r>
          </w:p>
        </w:tc>
      </w:tr>
      <w:tr w:rsidR="009F6BF1" w:rsidRPr="008F6BE9" w14:paraId="326DA502" w14:textId="77777777" w:rsidTr="00B24DF3">
        <w:tc>
          <w:tcPr>
            <w:tcW w:w="1050" w:type="pct"/>
          </w:tcPr>
          <w:p w14:paraId="059F7051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STZ group</w:t>
            </w:r>
          </w:p>
          <w:p w14:paraId="50A499DC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Mean ± SD</w:t>
            </w:r>
          </w:p>
        </w:tc>
        <w:tc>
          <w:tcPr>
            <w:tcW w:w="790" w:type="pct"/>
          </w:tcPr>
          <w:p w14:paraId="55AF5CDF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(97-132)</w:t>
            </w:r>
          </w:p>
          <w:p w14:paraId="438AA995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110 ± 22</w:t>
            </w:r>
          </w:p>
        </w:tc>
        <w:tc>
          <w:tcPr>
            <w:tcW w:w="724" w:type="pct"/>
          </w:tcPr>
          <w:p w14:paraId="3998996A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(257-540)</w:t>
            </w:r>
          </w:p>
          <w:p w14:paraId="2E423AA5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320 ± 33</w:t>
            </w:r>
          </w:p>
        </w:tc>
        <w:tc>
          <w:tcPr>
            <w:tcW w:w="724" w:type="pct"/>
          </w:tcPr>
          <w:p w14:paraId="3DD09C31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(242-476)</w:t>
            </w:r>
          </w:p>
          <w:p w14:paraId="0704CBE3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331 ± 24</w:t>
            </w:r>
          </w:p>
        </w:tc>
        <w:tc>
          <w:tcPr>
            <w:tcW w:w="724" w:type="pct"/>
          </w:tcPr>
          <w:p w14:paraId="5E0E6CE6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(276-534)</w:t>
            </w:r>
          </w:p>
          <w:p w14:paraId="6A749E8D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363 ± 22</w:t>
            </w:r>
          </w:p>
        </w:tc>
        <w:tc>
          <w:tcPr>
            <w:tcW w:w="987" w:type="pct"/>
          </w:tcPr>
          <w:p w14:paraId="16F36FC0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(254-530) </w:t>
            </w:r>
          </w:p>
          <w:p w14:paraId="1412DB24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324 ± 33</w:t>
            </w:r>
          </w:p>
        </w:tc>
      </w:tr>
      <w:tr w:rsidR="009F6BF1" w:rsidRPr="008F6BE9" w14:paraId="425543F2" w14:textId="77777777" w:rsidTr="00B24DF3">
        <w:tc>
          <w:tcPr>
            <w:tcW w:w="1050" w:type="pct"/>
          </w:tcPr>
          <w:p w14:paraId="336008A8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STZ+AA group</w:t>
            </w:r>
          </w:p>
          <w:p w14:paraId="0638E116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Mean ± SD</w:t>
            </w:r>
          </w:p>
        </w:tc>
        <w:tc>
          <w:tcPr>
            <w:tcW w:w="790" w:type="pct"/>
          </w:tcPr>
          <w:p w14:paraId="4F1FCA7B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(84-125)</w:t>
            </w:r>
          </w:p>
          <w:p w14:paraId="11A7A116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105 ± 21</w:t>
            </w:r>
          </w:p>
        </w:tc>
        <w:tc>
          <w:tcPr>
            <w:tcW w:w="724" w:type="pct"/>
          </w:tcPr>
          <w:p w14:paraId="66DB78A5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(285-487)</w:t>
            </w:r>
          </w:p>
          <w:p w14:paraId="0CB03FDD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  <w:rtl/>
              </w:rPr>
              <w:t>315</w:t>
            </w:r>
            <w:r w:rsidRPr="008F6BE9">
              <w:rPr>
                <w:color w:val="000000" w:themeColor="text1"/>
              </w:rPr>
              <w:t xml:space="preserve"> ± 32</w:t>
            </w:r>
          </w:p>
        </w:tc>
        <w:tc>
          <w:tcPr>
            <w:tcW w:w="724" w:type="pct"/>
          </w:tcPr>
          <w:p w14:paraId="608EC6AB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(264-528)</w:t>
            </w:r>
          </w:p>
          <w:p w14:paraId="60686F9A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</w:t>
            </w:r>
            <w:r w:rsidRPr="008F6BE9">
              <w:rPr>
                <w:color w:val="000000" w:themeColor="text1"/>
                <w:rtl/>
              </w:rPr>
              <w:t>4</w:t>
            </w:r>
            <w:r w:rsidRPr="008F6BE9">
              <w:rPr>
                <w:color w:val="000000" w:themeColor="text1"/>
              </w:rPr>
              <w:t>4 ± 22</w:t>
            </w:r>
          </w:p>
        </w:tc>
        <w:tc>
          <w:tcPr>
            <w:tcW w:w="724" w:type="pct"/>
          </w:tcPr>
          <w:p w14:paraId="218E4CDA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(284-460)</w:t>
            </w:r>
          </w:p>
          <w:p w14:paraId="6B26FBDE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351 ± 31</w:t>
            </w:r>
          </w:p>
        </w:tc>
        <w:tc>
          <w:tcPr>
            <w:tcW w:w="987" w:type="pct"/>
          </w:tcPr>
          <w:p w14:paraId="51996816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(287-510) </w:t>
            </w:r>
          </w:p>
          <w:p w14:paraId="053AF853" w14:textId="77777777" w:rsidR="009F6BF1" w:rsidRPr="008F6BE9" w:rsidRDefault="009F6BF1" w:rsidP="00B24DF3">
            <w:pPr>
              <w:spacing w:line="360" w:lineRule="auto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</w:t>
            </w:r>
            <w:r w:rsidRPr="008F6BE9">
              <w:rPr>
                <w:color w:val="000000" w:themeColor="text1"/>
                <w:rtl/>
              </w:rPr>
              <w:t>20</w:t>
            </w:r>
            <w:r w:rsidRPr="008F6BE9">
              <w:rPr>
                <w:color w:val="000000" w:themeColor="text1"/>
              </w:rPr>
              <w:t xml:space="preserve"> ± 24</w:t>
            </w:r>
          </w:p>
        </w:tc>
      </w:tr>
    </w:tbl>
    <w:p w14:paraId="740981E5" w14:textId="77777777" w:rsidR="009F6BF1" w:rsidRDefault="009F6BF1" w:rsidP="00C841A2">
      <w:pPr>
        <w:spacing w:line="276" w:lineRule="auto"/>
        <w:rPr>
          <w:b/>
          <w:bCs/>
          <w:color w:val="000000" w:themeColor="text1"/>
        </w:rPr>
      </w:pPr>
    </w:p>
    <w:p w14:paraId="2F86B72E" w14:textId="49CA6174" w:rsidR="00C841A2" w:rsidRDefault="00C841A2" w:rsidP="00C841A2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</w:t>
      </w:r>
      <w:r w:rsidR="00B66707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 xml:space="preserve"> </w:t>
      </w:r>
      <w:r w:rsidRPr="008F6BE9">
        <w:rPr>
          <w:b/>
          <w:bCs/>
          <w:color w:val="000000" w:themeColor="text1"/>
        </w:rPr>
        <w:t>Table</w:t>
      </w:r>
    </w:p>
    <w:p w14:paraId="6212A848" w14:textId="6D8557D0" w:rsidR="00C841A2" w:rsidRPr="00C841A2" w:rsidRDefault="00C841A2" w:rsidP="00C841A2">
      <w:pPr>
        <w:spacing w:line="276" w:lineRule="auto"/>
        <w:rPr>
          <w:b/>
          <w:bCs/>
          <w:color w:val="000000" w:themeColor="text1"/>
        </w:rPr>
      </w:pPr>
      <w:r w:rsidRPr="008F6BE9">
        <w:rPr>
          <w:color w:val="000000" w:themeColor="text1"/>
        </w:rPr>
        <w:t xml:space="preserve">Means ± SD of area % of Masson’s trichrome stain, PAS reaction, and Bcl-2 expression in all groups. </w:t>
      </w:r>
    </w:p>
    <w:tbl>
      <w:tblPr>
        <w:tblStyle w:val="TableGrid"/>
        <w:tblpPr w:leftFromText="180" w:rightFromText="180" w:vertAnchor="text" w:horzAnchor="margin" w:tblpXSpec="center" w:tblpY="12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388"/>
        <w:gridCol w:w="1683"/>
        <w:gridCol w:w="1388"/>
        <w:gridCol w:w="1683"/>
        <w:gridCol w:w="1388"/>
        <w:gridCol w:w="1683"/>
      </w:tblGrid>
      <w:tr w:rsidR="00C841A2" w:rsidRPr="008F6BE9" w14:paraId="77B21E23" w14:textId="77777777" w:rsidTr="00C841A2">
        <w:trPr>
          <w:trHeight w:val="252"/>
        </w:trPr>
        <w:tc>
          <w:tcPr>
            <w:tcW w:w="0" w:type="auto"/>
          </w:tcPr>
          <w:p w14:paraId="00CEBC42" w14:textId="77777777" w:rsidR="00C841A2" w:rsidRPr="008F6BE9" w:rsidRDefault="00C841A2" w:rsidP="00B24DF3">
            <w:pPr>
              <w:jc w:val="center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Group</w:t>
            </w:r>
          </w:p>
        </w:tc>
        <w:tc>
          <w:tcPr>
            <w:tcW w:w="0" w:type="auto"/>
            <w:gridSpan w:val="2"/>
          </w:tcPr>
          <w:p w14:paraId="1618EB3F" w14:textId="77777777" w:rsidR="00C841A2" w:rsidRPr="008F6BE9" w:rsidRDefault="00C841A2" w:rsidP="00B24DF3">
            <w:pPr>
              <w:jc w:val="center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Masson’s Trichrome</w:t>
            </w:r>
          </w:p>
        </w:tc>
        <w:tc>
          <w:tcPr>
            <w:tcW w:w="0" w:type="auto"/>
            <w:gridSpan w:val="2"/>
          </w:tcPr>
          <w:p w14:paraId="55059D5D" w14:textId="77777777" w:rsidR="00C841A2" w:rsidRPr="008F6BE9" w:rsidRDefault="00C841A2" w:rsidP="00B24DF3">
            <w:pPr>
              <w:jc w:val="center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PAS</w:t>
            </w:r>
          </w:p>
        </w:tc>
        <w:tc>
          <w:tcPr>
            <w:tcW w:w="0" w:type="auto"/>
            <w:gridSpan w:val="2"/>
          </w:tcPr>
          <w:p w14:paraId="5372D715" w14:textId="77777777" w:rsidR="00C841A2" w:rsidRPr="008F6BE9" w:rsidRDefault="00C841A2" w:rsidP="00B24DF3">
            <w:pPr>
              <w:jc w:val="center"/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Bcl-2</w:t>
            </w:r>
          </w:p>
        </w:tc>
      </w:tr>
      <w:tr w:rsidR="00C841A2" w:rsidRPr="008F6BE9" w14:paraId="36835926" w14:textId="77777777" w:rsidTr="00C841A2">
        <w:trPr>
          <w:trHeight w:val="270"/>
        </w:trPr>
        <w:tc>
          <w:tcPr>
            <w:tcW w:w="0" w:type="auto"/>
            <w:vMerge w:val="restart"/>
          </w:tcPr>
          <w:p w14:paraId="073B18EF" w14:textId="77777777" w:rsidR="00C841A2" w:rsidRPr="008F6BE9" w:rsidRDefault="00C841A2" w:rsidP="00B24DF3">
            <w:pPr>
              <w:rPr>
                <w:color w:val="000000" w:themeColor="text1"/>
              </w:rPr>
            </w:pPr>
          </w:p>
          <w:p w14:paraId="013831D0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Control</w:t>
            </w:r>
          </w:p>
        </w:tc>
        <w:tc>
          <w:tcPr>
            <w:tcW w:w="0" w:type="auto"/>
          </w:tcPr>
          <w:p w14:paraId="63DBB9C0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Parotid</w:t>
            </w:r>
          </w:p>
        </w:tc>
        <w:tc>
          <w:tcPr>
            <w:tcW w:w="0" w:type="auto"/>
          </w:tcPr>
          <w:p w14:paraId="7F71D5A3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Submandibular</w:t>
            </w:r>
          </w:p>
        </w:tc>
        <w:tc>
          <w:tcPr>
            <w:tcW w:w="0" w:type="auto"/>
          </w:tcPr>
          <w:p w14:paraId="4D1DC02E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Parotid</w:t>
            </w:r>
          </w:p>
        </w:tc>
        <w:tc>
          <w:tcPr>
            <w:tcW w:w="0" w:type="auto"/>
          </w:tcPr>
          <w:p w14:paraId="09628932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Submandibular</w:t>
            </w:r>
          </w:p>
        </w:tc>
        <w:tc>
          <w:tcPr>
            <w:tcW w:w="0" w:type="auto"/>
          </w:tcPr>
          <w:p w14:paraId="2435E688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Parotid</w:t>
            </w:r>
          </w:p>
        </w:tc>
        <w:tc>
          <w:tcPr>
            <w:tcW w:w="0" w:type="auto"/>
          </w:tcPr>
          <w:p w14:paraId="42D9BF0E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Submandibular</w:t>
            </w:r>
          </w:p>
        </w:tc>
      </w:tr>
      <w:tr w:rsidR="00C841A2" w:rsidRPr="008F6BE9" w14:paraId="69447CEA" w14:textId="77777777" w:rsidTr="00C841A2">
        <w:trPr>
          <w:trHeight w:val="387"/>
        </w:trPr>
        <w:tc>
          <w:tcPr>
            <w:tcW w:w="0" w:type="auto"/>
            <w:vMerge/>
          </w:tcPr>
          <w:p w14:paraId="67FFD135" w14:textId="77777777" w:rsidR="00C841A2" w:rsidRPr="008F6BE9" w:rsidRDefault="00C841A2" w:rsidP="00B24DF3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C09C641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3.71783 </w:t>
            </w:r>
          </w:p>
          <w:p w14:paraId="7E0789F2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1.281860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0243FD0F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1.13817 </w:t>
            </w:r>
          </w:p>
          <w:p w14:paraId="054FCA8C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0.477215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611A02C6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50.09983</w:t>
            </w:r>
          </w:p>
          <w:p w14:paraId="3DE95351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1.578850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B2E1C79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51.52883</w:t>
            </w:r>
          </w:p>
          <w:p w14:paraId="730723D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2.872598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73F635A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53.17683</w:t>
            </w:r>
          </w:p>
          <w:p w14:paraId="47747BEA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0.902547</w:t>
            </w:r>
            <w:r w:rsidRPr="008F6BE9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5AC2A7C8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30.11083</w:t>
            </w:r>
          </w:p>
          <w:p w14:paraId="78AB937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1.202382</w:t>
            </w:r>
            <w:r w:rsidRPr="008F6BE9">
              <w:rPr>
                <w:color w:val="000000" w:themeColor="text1"/>
                <w:vertAlign w:val="superscript"/>
              </w:rPr>
              <w:t>d</w:t>
            </w:r>
          </w:p>
        </w:tc>
      </w:tr>
      <w:tr w:rsidR="00C841A2" w:rsidRPr="008F6BE9" w14:paraId="367A840A" w14:textId="77777777" w:rsidTr="00C841A2">
        <w:trPr>
          <w:trHeight w:val="452"/>
        </w:trPr>
        <w:tc>
          <w:tcPr>
            <w:tcW w:w="0" w:type="auto"/>
          </w:tcPr>
          <w:p w14:paraId="03790AA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AA</w:t>
            </w:r>
          </w:p>
        </w:tc>
        <w:tc>
          <w:tcPr>
            <w:tcW w:w="0" w:type="auto"/>
          </w:tcPr>
          <w:p w14:paraId="5599925C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3.44400 </w:t>
            </w:r>
          </w:p>
          <w:p w14:paraId="7F90C562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0.675710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6FF14B5E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1.75633 </w:t>
            </w:r>
          </w:p>
          <w:p w14:paraId="16E53E47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0.617998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7392D746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50.68633</w:t>
            </w:r>
          </w:p>
          <w:p w14:paraId="63597C15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0.828040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7AFA21F1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49.60633</w:t>
            </w:r>
          </w:p>
          <w:p w14:paraId="68F52577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1.612164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1FAB3D7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50.49800</w:t>
            </w:r>
          </w:p>
          <w:p w14:paraId="0760F185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1.827726</w:t>
            </w:r>
            <w:r w:rsidRPr="008F6BE9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2D1E2A26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27.21650</w:t>
            </w:r>
          </w:p>
          <w:p w14:paraId="7943BB6F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1.602338</w:t>
            </w:r>
            <w:r w:rsidRPr="008F6BE9">
              <w:rPr>
                <w:color w:val="000000" w:themeColor="text1"/>
                <w:vertAlign w:val="superscript"/>
              </w:rPr>
              <w:t>d</w:t>
            </w:r>
          </w:p>
        </w:tc>
      </w:tr>
      <w:tr w:rsidR="00C841A2" w:rsidRPr="008F6BE9" w14:paraId="3FB90D7F" w14:textId="77777777" w:rsidTr="00C841A2">
        <w:trPr>
          <w:trHeight w:val="445"/>
        </w:trPr>
        <w:tc>
          <w:tcPr>
            <w:tcW w:w="0" w:type="auto"/>
          </w:tcPr>
          <w:p w14:paraId="1528511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STZ</w:t>
            </w:r>
          </w:p>
        </w:tc>
        <w:tc>
          <w:tcPr>
            <w:tcW w:w="0" w:type="auto"/>
          </w:tcPr>
          <w:p w14:paraId="46BAE66C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39.50150</w:t>
            </w:r>
          </w:p>
          <w:p w14:paraId="0B2690A2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1.961770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618750B2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 xml:space="preserve">34.48950 </w:t>
            </w:r>
          </w:p>
          <w:p w14:paraId="1F2F9F32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1.789599</w:t>
            </w:r>
            <w:r w:rsidRPr="008F6BE9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0FB158A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24.12683</w:t>
            </w:r>
          </w:p>
          <w:p w14:paraId="3B75F07A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1.835171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36974BA5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24.71983</w:t>
            </w:r>
          </w:p>
          <w:p w14:paraId="653DB748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1.581080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0BAD23CB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13.94967</w:t>
            </w:r>
          </w:p>
          <w:p w14:paraId="0C42E609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1.324206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7D7F9F16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7.18300</w:t>
            </w:r>
          </w:p>
          <w:p w14:paraId="24071B8F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0.930391</w:t>
            </w:r>
            <w:r w:rsidRPr="008F6BE9">
              <w:rPr>
                <w:color w:val="000000" w:themeColor="text1"/>
                <w:vertAlign w:val="superscript"/>
              </w:rPr>
              <w:t>a</w:t>
            </w:r>
          </w:p>
        </w:tc>
      </w:tr>
      <w:tr w:rsidR="00C841A2" w:rsidRPr="008F6BE9" w14:paraId="5B34E608" w14:textId="77777777" w:rsidTr="00C841A2">
        <w:trPr>
          <w:trHeight w:val="439"/>
        </w:trPr>
        <w:tc>
          <w:tcPr>
            <w:tcW w:w="0" w:type="auto"/>
          </w:tcPr>
          <w:p w14:paraId="3947A517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STZ+AA</w:t>
            </w:r>
          </w:p>
        </w:tc>
        <w:tc>
          <w:tcPr>
            <w:tcW w:w="0" w:type="auto"/>
          </w:tcPr>
          <w:p w14:paraId="0C954909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21.58017</w:t>
            </w:r>
          </w:p>
          <w:p w14:paraId="561FA467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1.532463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6F2DDDC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15.33500</w:t>
            </w:r>
          </w:p>
          <w:p w14:paraId="7E35FD9C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0.784477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784F4ED1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37.03567</w:t>
            </w:r>
          </w:p>
          <w:p w14:paraId="158F9F97" w14:textId="77777777" w:rsidR="00C841A2" w:rsidRPr="008F6BE9" w:rsidRDefault="00C841A2" w:rsidP="00B24DF3">
            <w:pPr>
              <w:rPr>
                <w:color w:val="000000" w:themeColor="text1"/>
                <w:vertAlign w:val="superscript"/>
              </w:rPr>
            </w:pPr>
            <w:r w:rsidRPr="008F6BE9">
              <w:rPr>
                <w:color w:val="000000" w:themeColor="text1"/>
              </w:rPr>
              <w:t>± 1.364598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1EA1A7A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34.78867</w:t>
            </w:r>
          </w:p>
          <w:p w14:paraId="4D06A41E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1.331696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2D2FF06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39.31667</w:t>
            </w:r>
          </w:p>
          <w:p w14:paraId="438E40C7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2.087186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357E397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17.72150</w:t>
            </w:r>
          </w:p>
          <w:p w14:paraId="1DC2F4C5" w14:textId="77777777" w:rsidR="00C841A2" w:rsidRPr="008F6BE9" w:rsidRDefault="00C841A2" w:rsidP="00B24DF3">
            <w:pPr>
              <w:rPr>
                <w:color w:val="000000" w:themeColor="text1"/>
              </w:rPr>
            </w:pPr>
            <w:r w:rsidRPr="008F6BE9">
              <w:rPr>
                <w:color w:val="000000" w:themeColor="text1"/>
              </w:rPr>
              <w:t>± 1.091832</w:t>
            </w:r>
            <w:r w:rsidRPr="008F6BE9">
              <w:rPr>
                <w:color w:val="000000" w:themeColor="text1"/>
                <w:vertAlign w:val="superscript"/>
              </w:rPr>
              <w:t>b</w:t>
            </w:r>
          </w:p>
        </w:tc>
      </w:tr>
    </w:tbl>
    <w:p w14:paraId="1769B127" w14:textId="77777777" w:rsidR="00C841A2" w:rsidRPr="008F6BE9" w:rsidRDefault="00C841A2" w:rsidP="00C841A2">
      <w:pPr>
        <w:pStyle w:val="MDPI43tablefooter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F6BE9">
        <w:rPr>
          <w:rFonts w:ascii="Times New Roman" w:hAnsi="Times New Roman"/>
          <w:color w:val="000000" w:themeColor="text1"/>
          <w:sz w:val="24"/>
          <w:szCs w:val="24"/>
        </w:rPr>
        <w:t xml:space="preserve">Different superscripts indicate significant difference at </w:t>
      </w:r>
      <w:r w:rsidRPr="008F6BE9">
        <w:rPr>
          <w:rFonts w:ascii="Times New Roman" w:hAnsi="Times New Roman"/>
          <w:i/>
          <w:iCs/>
          <w:color w:val="000000" w:themeColor="text1"/>
          <w:sz w:val="24"/>
          <w:szCs w:val="24"/>
        </w:rPr>
        <w:t>p</w:t>
      </w:r>
      <w:r w:rsidRPr="008F6BE9">
        <w:rPr>
          <w:rFonts w:ascii="Times New Roman" w:hAnsi="Times New Roman"/>
          <w:color w:val="000000" w:themeColor="text1"/>
          <w:sz w:val="24"/>
          <w:szCs w:val="24"/>
        </w:rPr>
        <w:t xml:space="preserve"> ≤ 0.05.</w:t>
      </w:r>
    </w:p>
    <w:p w14:paraId="4CBDDC64" w14:textId="77777777" w:rsidR="00C841A2" w:rsidRPr="008F6BE9" w:rsidRDefault="00C841A2" w:rsidP="00C841A2">
      <w:pPr>
        <w:pStyle w:val="MDPI43tablefooter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Masson’s trichrome stain: </w:t>
      </w:r>
      <w:r w:rsidRPr="008F6B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8F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significant to control and AA groups, </w:t>
      </w:r>
      <w:r w:rsidRPr="008F6B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Pr="008F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significant to STZ group</w:t>
      </w:r>
    </w:p>
    <w:p w14:paraId="6317CCF6" w14:textId="6CD7C58A" w:rsidR="001C2809" w:rsidRPr="00870F31" w:rsidRDefault="00C841A2" w:rsidP="00870F31">
      <w:pPr>
        <w:rPr>
          <w:color w:val="000000" w:themeColor="text1"/>
        </w:rPr>
      </w:pPr>
      <w:r w:rsidRPr="008F6BE9">
        <w:rPr>
          <w:color w:val="000000" w:themeColor="text1"/>
        </w:rPr>
        <w:t xml:space="preserve">For PAS and Bcl-2 stains: </w:t>
      </w:r>
      <w:r w:rsidRPr="008F6BE9">
        <w:rPr>
          <w:color w:val="000000" w:themeColor="text1"/>
          <w:vertAlign w:val="superscript"/>
        </w:rPr>
        <w:t>a</w:t>
      </w:r>
      <w:r w:rsidRPr="008F6BE9">
        <w:rPr>
          <w:color w:val="000000" w:themeColor="text1"/>
        </w:rPr>
        <w:t xml:space="preserve"> significant to control and AA groups, </w:t>
      </w:r>
      <w:r w:rsidRPr="008F6BE9">
        <w:rPr>
          <w:color w:val="000000" w:themeColor="text1"/>
          <w:vertAlign w:val="superscript"/>
        </w:rPr>
        <w:t>b</w:t>
      </w:r>
      <w:r w:rsidRPr="008F6BE9">
        <w:rPr>
          <w:color w:val="000000" w:themeColor="text1"/>
        </w:rPr>
        <w:t xml:space="preserve"> significant to STZ group</w:t>
      </w:r>
    </w:p>
    <w:p w14:paraId="66FBBD67" w14:textId="1BB5308D" w:rsidR="003068B0" w:rsidRPr="0030275C" w:rsidRDefault="003068B0" w:rsidP="00AE227C">
      <w:pPr>
        <w:spacing w:line="360" w:lineRule="auto"/>
        <w:rPr>
          <w:rFonts w:asciiTheme="majorBidi" w:hAnsiTheme="majorBidi" w:cstheme="majorBidi"/>
        </w:rPr>
      </w:pPr>
    </w:p>
    <w:sectPr w:rsidR="003068B0" w:rsidRPr="0030275C" w:rsidSect="0073131A">
      <w:pgSz w:w="11900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5109" w14:textId="77777777" w:rsidR="00514CD0" w:rsidRDefault="00514CD0" w:rsidP="001F51DE">
      <w:r>
        <w:separator/>
      </w:r>
    </w:p>
  </w:endnote>
  <w:endnote w:type="continuationSeparator" w:id="0">
    <w:p w14:paraId="6F101358" w14:textId="77777777" w:rsidR="00514CD0" w:rsidRDefault="00514CD0" w:rsidP="001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JDNJ M+ MTSY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4944" w14:textId="77777777" w:rsidR="00514CD0" w:rsidRDefault="00514CD0" w:rsidP="001F51DE">
      <w:r>
        <w:separator/>
      </w:r>
    </w:p>
  </w:footnote>
  <w:footnote w:type="continuationSeparator" w:id="0">
    <w:p w14:paraId="582C622A" w14:textId="77777777" w:rsidR="00514CD0" w:rsidRDefault="00514CD0" w:rsidP="001F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E35"/>
    <w:multiLevelType w:val="multilevel"/>
    <w:tmpl w:val="70BC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ED4E19"/>
    <w:multiLevelType w:val="hybridMultilevel"/>
    <w:tmpl w:val="097EABD4"/>
    <w:lvl w:ilvl="0" w:tplc="199A9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3E25"/>
    <w:multiLevelType w:val="multilevel"/>
    <w:tmpl w:val="849CB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CA0D90"/>
    <w:multiLevelType w:val="multilevel"/>
    <w:tmpl w:val="06403C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F5F6B"/>
    <w:multiLevelType w:val="multilevel"/>
    <w:tmpl w:val="70BC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3621067"/>
    <w:multiLevelType w:val="hybridMultilevel"/>
    <w:tmpl w:val="C28641A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2FAB"/>
    <w:multiLevelType w:val="multilevel"/>
    <w:tmpl w:val="70BC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7366D7A"/>
    <w:multiLevelType w:val="hybridMultilevel"/>
    <w:tmpl w:val="53EA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05D"/>
    <w:multiLevelType w:val="multilevel"/>
    <w:tmpl w:val="9942D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735776D"/>
    <w:multiLevelType w:val="hybridMultilevel"/>
    <w:tmpl w:val="DF7A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D7258"/>
    <w:multiLevelType w:val="multilevel"/>
    <w:tmpl w:val="70BC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D9B66F4"/>
    <w:multiLevelType w:val="multilevel"/>
    <w:tmpl w:val="C346D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568733653">
    <w:abstractNumId w:val="7"/>
  </w:num>
  <w:num w:numId="2" w16cid:durableId="516120138">
    <w:abstractNumId w:val="9"/>
  </w:num>
  <w:num w:numId="3" w16cid:durableId="1001083504">
    <w:abstractNumId w:val="1"/>
  </w:num>
  <w:num w:numId="4" w16cid:durableId="824659767">
    <w:abstractNumId w:val="4"/>
  </w:num>
  <w:num w:numId="5" w16cid:durableId="1226991323">
    <w:abstractNumId w:val="11"/>
  </w:num>
  <w:num w:numId="6" w16cid:durableId="420684091">
    <w:abstractNumId w:val="2"/>
  </w:num>
  <w:num w:numId="7" w16cid:durableId="1220094275">
    <w:abstractNumId w:val="8"/>
  </w:num>
  <w:num w:numId="8" w16cid:durableId="2021815850">
    <w:abstractNumId w:val="0"/>
  </w:num>
  <w:num w:numId="9" w16cid:durableId="1650016039">
    <w:abstractNumId w:val="3"/>
  </w:num>
  <w:num w:numId="10" w16cid:durableId="361979861">
    <w:abstractNumId w:val="5"/>
  </w:num>
  <w:num w:numId="11" w16cid:durableId="76024524">
    <w:abstractNumId w:val="10"/>
  </w:num>
  <w:num w:numId="12" w16cid:durableId="76630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D6"/>
    <w:rsid w:val="00000967"/>
    <w:rsid w:val="000011AD"/>
    <w:rsid w:val="0000228B"/>
    <w:rsid w:val="00003755"/>
    <w:rsid w:val="000039B8"/>
    <w:rsid w:val="000056B0"/>
    <w:rsid w:val="000061DA"/>
    <w:rsid w:val="00013232"/>
    <w:rsid w:val="00021351"/>
    <w:rsid w:val="00021802"/>
    <w:rsid w:val="00026965"/>
    <w:rsid w:val="00026AE7"/>
    <w:rsid w:val="0003082B"/>
    <w:rsid w:val="000338C5"/>
    <w:rsid w:val="000356EE"/>
    <w:rsid w:val="0004140A"/>
    <w:rsid w:val="000421B3"/>
    <w:rsid w:val="00047D26"/>
    <w:rsid w:val="000531F7"/>
    <w:rsid w:val="000554A5"/>
    <w:rsid w:val="00061246"/>
    <w:rsid w:val="00062C0D"/>
    <w:rsid w:val="000707F4"/>
    <w:rsid w:val="00076F2A"/>
    <w:rsid w:val="00077F1E"/>
    <w:rsid w:val="00081EDC"/>
    <w:rsid w:val="0008257E"/>
    <w:rsid w:val="00082667"/>
    <w:rsid w:val="00084BE9"/>
    <w:rsid w:val="00085207"/>
    <w:rsid w:val="00086C8C"/>
    <w:rsid w:val="00091781"/>
    <w:rsid w:val="0009267B"/>
    <w:rsid w:val="000A312B"/>
    <w:rsid w:val="000A337C"/>
    <w:rsid w:val="000A49FC"/>
    <w:rsid w:val="000B3BB0"/>
    <w:rsid w:val="000B3D27"/>
    <w:rsid w:val="000B430C"/>
    <w:rsid w:val="000C2F6F"/>
    <w:rsid w:val="000C373E"/>
    <w:rsid w:val="000D573B"/>
    <w:rsid w:val="000D762F"/>
    <w:rsid w:val="000E0A4E"/>
    <w:rsid w:val="000E71EC"/>
    <w:rsid w:val="000E7AEE"/>
    <w:rsid w:val="000F4661"/>
    <w:rsid w:val="000F6F13"/>
    <w:rsid w:val="000F7A2A"/>
    <w:rsid w:val="00101FFC"/>
    <w:rsid w:val="00104C35"/>
    <w:rsid w:val="00110F91"/>
    <w:rsid w:val="00116018"/>
    <w:rsid w:val="0012325A"/>
    <w:rsid w:val="00141350"/>
    <w:rsid w:val="00141DF5"/>
    <w:rsid w:val="00141F94"/>
    <w:rsid w:val="0014503D"/>
    <w:rsid w:val="001460ED"/>
    <w:rsid w:val="00146D48"/>
    <w:rsid w:val="00150569"/>
    <w:rsid w:val="001525C3"/>
    <w:rsid w:val="001565FB"/>
    <w:rsid w:val="0016236E"/>
    <w:rsid w:val="00170A11"/>
    <w:rsid w:val="00171ED0"/>
    <w:rsid w:val="00171F6E"/>
    <w:rsid w:val="00172016"/>
    <w:rsid w:val="0017288F"/>
    <w:rsid w:val="001736BC"/>
    <w:rsid w:val="00173C6D"/>
    <w:rsid w:val="00176AF6"/>
    <w:rsid w:val="00180590"/>
    <w:rsid w:val="00183B64"/>
    <w:rsid w:val="00190132"/>
    <w:rsid w:val="00191152"/>
    <w:rsid w:val="001915D5"/>
    <w:rsid w:val="0019217F"/>
    <w:rsid w:val="001926AD"/>
    <w:rsid w:val="00192A92"/>
    <w:rsid w:val="00192D50"/>
    <w:rsid w:val="00197852"/>
    <w:rsid w:val="001A2306"/>
    <w:rsid w:val="001A338B"/>
    <w:rsid w:val="001A345A"/>
    <w:rsid w:val="001A3DFD"/>
    <w:rsid w:val="001B0473"/>
    <w:rsid w:val="001B39D9"/>
    <w:rsid w:val="001B7DDE"/>
    <w:rsid w:val="001B7FE6"/>
    <w:rsid w:val="001C2809"/>
    <w:rsid w:val="001C65C1"/>
    <w:rsid w:val="001C67D7"/>
    <w:rsid w:val="001D23D3"/>
    <w:rsid w:val="001D62FE"/>
    <w:rsid w:val="001F0225"/>
    <w:rsid w:val="001F35D6"/>
    <w:rsid w:val="001F43C0"/>
    <w:rsid w:val="001F51DE"/>
    <w:rsid w:val="00201E8E"/>
    <w:rsid w:val="00205F27"/>
    <w:rsid w:val="002138D9"/>
    <w:rsid w:val="00213B66"/>
    <w:rsid w:val="00215C47"/>
    <w:rsid w:val="00215C4F"/>
    <w:rsid w:val="002215B0"/>
    <w:rsid w:val="00222B75"/>
    <w:rsid w:val="00223B09"/>
    <w:rsid w:val="002301CE"/>
    <w:rsid w:val="002302DE"/>
    <w:rsid w:val="002404A2"/>
    <w:rsid w:val="00241820"/>
    <w:rsid w:val="00244AC1"/>
    <w:rsid w:val="00247CA1"/>
    <w:rsid w:val="00250CA6"/>
    <w:rsid w:val="00250D91"/>
    <w:rsid w:val="00251DD8"/>
    <w:rsid w:val="002522F6"/>
    <w:rsid w:val="00260216"/>
    <w:rsid w:val="00263FAF"/>
    <w:rsid w:val="00263FBA"/>
    <w:rsid w:val="00266A98"/>
    <w:rsid w:val="00266D52"/>
    <w:rsid w:val="0027144F"/>
    <w:rsid w:val="002754A0"/>
    <w:rsid w:val="002828BA"/>
    <w:rsid w:val="002832BE"/>
    <w:rsid w:val="00285F0E"/>
    <w:rsid w:val="00286BCB"/>
    <w:rsid w:val="00294651"/>
    <w:rsid w:val="002A0459"/>
    <w:rsid w:val="002A3081"/>
    <w:rsid w:val="002A3814"/>
    <w:rsid w:val="002A4BE0"/>
    <w:rsid w:val="002A7EF4"/>
    <w:rsid w:val="002B07E9"/>
    <w:rsid w:val="002B09D6"/>
    <w:rsid w:val="002B3B80"/>
    <w:rsid w:val="002B5069"/>
    <w:rsid w:val="002B6CAB"/>
    <w:rsid w:val="002C003C"/>
    <w:rsid w:val="002C3E0E"/>
    <w:rsid w:val="002C62AC"/>
    <w:rsid w:val="002C772E"/>
    <w:rsid w:val="002C791B"/>
    <w:rsid w:val="002D273F"/>
    <w:rsid w:val="002D2BA0"/>
    <w:rsid w:val="002D43B5"/>
    <w:rsid w:val="002E017C"/>
    <w:rsid w:val="002E1719"/>
    <w:rsid w:val="002E69E6"/>
    <w:rsid w:val="002E7054"/>
    <w:rsid w:val="002E76CC"/>
    <w:rsid w:val="002F3254"/>
    <w:rsid w:val="002F3555"/>
    <w:rsid w:val="002F7E2C"/>
    <w:rsid w:val="0030275C"/>
    <w:rsid w:val="003068B0"/>
    <w:rsid w:val="00307E60"/>
    <w:rsid w:val="00312BB2"/>
    <w:rsid w:val="00314355"/>
    <w:rsid w:val="003167DF"/>
    <w:rsid w:val="00316CC5"/>
    <w:rsid w:val="00320F40"/>
    <w:rsid w:val="003259AD"/>
    <w:rsid w:val="003328CF"/>
    <w:rsid w:val="003424C0"/>
    <w:rsid w:val="00344141"/>
    <w:rsid w:val="00345E3C"/>
    <w:rsid w:val="00346496"/>
    <w:rsid w:val="00357114"/>
    <w:rsid w:val="003577D2"/>
    <w:rsid w:val="00360181"/>
    <w:rsid w:val="0036367D"/>
    <w:rsid w:val="00367004"/>
    <w:rsid w:val="00371309"/>
    <w:rsid w:val="003865F8"/>
    <w:rsid w:val="00387B33"/>
    <w:rsid w:val="00391DB1"/>
    <w:rsid w:val="003B051B"/>
    <w:rsid w:val="003B0B88"/>
    <w:rsid w:val="003B1116"/>
    <w:rsid w:val="003B2EAB"/>
    <w:rsid w:val="003B6D9D"/>
    <w:rsid w:val="003C03A6"/>
    <w:rsid w:val="003C06B1"/>
    <w:rsid w:val="003C5C51"/>
    <w:rsid w:val="003C661D"/>
    <w:rsid w:val="003C6DDF"/>
    <w:rsid w:val="003D0A3C"/>
    <w:rsid w:val="003D1239"/>
    <w:rsid w:val="003D4937"/>
    <w:rsid w:val="003D551F"/>
    <w:rsid w:val="003E24A7"/>
    <w:rsid w:val="003F0547"/>
    <w:rsid w:val="003F0818"/>
    <w:rsid w:val="003F1726"/>
    <w:rsid w:val="003F488C"/>
    <w:rsid w:val="0040647D"/>
    <w:rsid w:val="004112F5"/>
    <w:rsid w:val="00413DEA"/>
    <w:rsid w:val="004145E1"/>
    <w:rsid w:val="00420110"/>
    <w:rsid w:val="004201D6"/>
    <w:rsid w:val="00422B18"/>
    <w:rsid w:val="00426416"/>
    <w:rsid w:val="00437C89"/>
    <w:rsid w:val="004406D0"/>
    <w:rsid w:val="00440A1C"/>
    <w:rsid w:val="00441D93"/>
    <w:rsid w:val="00442741"/>
    <w:rsid w:val="00446149"/>
    <w:rsid w:val="00446FED"/>
    <w:rsid w:val="00450ECC"/>
    <w:rsid w:val="004528AF"/>
    <w:rsid w:val="00454538"/>
    <w:rsid w:val="004635BB"/>
    <w:rsid w:val="00466A20"/>
    <w:rsid w:val="00473932"/>
    <w:rsid w:val="0047535B"/>
    <w:rsid w:val="00476CF5"/>
    <w:rsid w:val="004775E0"/>
    <w:rsid w:val="004839B5"/>
    <w:rsid w:val="00486529"/>
    <w:rsid w:val="00493556"/>
    <w:rsid w:val="0049396A"/>
    <w:rsid w:val="004942A6"/>
    <w:rsid w:val="004A2DB9"/>
    <w:rsid w:val="004A35F8"/>
    <w:rsid w:val="004B2308"/>
    <w:rsid w:val="004B28C4"/>
    <w:rsid w:val="004B6CAE"/>
    <w:rsid w:val="004C0002"/>
    <w:rsid w:val="004C01F2"/>
    <w:rsid w:val="004C0261"/>
    <w:rsid w:val="004C1388"/>
    <w:rsid w:val="004C2269"/>
    <w:rsid w:val="004C6EFC"/>
    <w:rsid w:val="004D2E96"/>
    <w:rsid w:val="004E03FB"/>
    <w:rsid w:val="004E45BC"/>
    <w:rsid w:val="004E61A9"/>
    <w:rsid w:val="004F1273"/>
    <w:rsid w:val="004F3DB3"/>
    <w:rsid w:val="004F7034"/>
    <w:rsid w:val="004F727C"/>
    <w:rsid w:val="00502285"/>
    <w:rsid w:val="00502709"/>
    <w:rsid w:val="00511C73"/>
    <w:rsid w:val="00513CDB"/>
    <w:rsid w:val="0051403C"/>
    <w:rsid w:val="00514CD0"/>
    <w:rsid w:val="0051544A"/>
    <w:rsid w:val="00520593"/>
    <w:rsid w:val="00520EC2"/>
    <w:rsid w:val="00523923"/>
    <w:rsid w:val="00525174"/>
    <w:rsid w:val="00526C20"/>
    <w:rsid w:val="005301DC"/>
    <w:rsid w:val="0054169F"/>
    <w:rsid w:val="005417E8"/>
    <w:rsid w:val="0054411A"/>
    <w:rsid w:val="00545658"/>
    <w:rsid w:val="00550D6C"/>
    <w:rsid w:val="005522E3"/>
    <w:rsid w:val="00553F95"/>
    <w:rsid w:val="00554D45"/>
    <w:rsid w:val="00557C7B"/>
    <w:rsid w:val="00562069"/>
    <w:rsid w:val="0058013A"/>
    <w:rsid w:val="00582211"/>
    <w:rsid w:val="005866C6"/>
    <w:rsid w:val="00586A7F"/>
    <w:rsid w:val="00592BF4"/>
    <w:rsid w:val="00594937"/>
    <w:rsid w:val="005A23EF"/>
    <w:rsid w:val="005A3954"/>
    <w:rsid w:val="005A3A33"/>
    <w:rsid w:val="005B19B1"/>
    <w:rsid w:val="005C320F"/>
    <w:rsid w:val="005C37C9"/>
    <w:rsid w:val="005C4FD8"/>
    <w:rsid w:val="005C6752"/>
    <w:rsid w:val="005D32B6"/>
    <w:rsid w:val="005D43B9"/>
    <w:rsid w:val="005E121C"/>
    <w:rsid w:val="005E6942"/>
    <w:rsid w:val="005E70B2"/>
    <w:rsid w:val="005E7B62"/>
    <w:rsid w:val="005F5EBC"/>
    <w:rsid w:val="00600CCA"/>
    <w:rsid w:val="00601A50"/>
    <w:rsid w:val="00602C22"/>
    <w:rsid w:val="00603812"/>
    <w:rsid w:val="00603B71"/>
    <w:rsid w:val="006123EF"/>
    <w:rsid w:val="0061322B"/>
    <w:rsid w:val="00617EAB"/>
    <w:rsid w:val="00620730"/>
    <w:rsid w:val="00623BA9"/>
    <w:rsid w:val="00625AF2"/>
    <w:rsid w:val="0062695A"/>
    <w:rsid w:val="006309F0"/>
    <w:rsid w:val="00635053"/>
    <w:rsid w:val="006411D9"/>
    <w:rsid w:val="00641BFA"/>
    <w:rsid w:val="00641C3E"/>
    <w:rsid w:val="00642A44"/>
    <w:rsid w:val="00650A6E"/>
    <w:rsid w:val="00656053"/>
    <w:rsid w:val="006606F3"/>
    <w:rsid w:val="00660B04"/>
    <w:rsid w:val="00661FB9"/>
    <w:rsid w:val="00663EF7"/>
    <w:rsid w:val="00675F0F"/>
    <w:rsid w:val="006951DD"/>
    <w:rsid w:val="0069583A"/>
    <w:rsid w:val="00696642"/>
    <w:rsid w:val="006A0CB3"/>
    <w:rsid w:val="006A22AB"/>
    <w:rsid w:val="006A34E4"/>
    <w:rsid w:val="006B5B18"/>
    <w:rsid w:val="006C128E"/>
    <w:rsid w:val="006C1C21"/>
    <w:rsid w:val="006C1C66"/>
    <w:rsid w:val="006C2ED9"/>
    <w:rsid w:val="006C3209"/>
    <w:rsid w:val="006C3A7A"/>
    <w:rsid w:val="006C52CB"/>
    <w:rsid w:val="006D11D5"/>
    <w:rsid w:val="006D27C6"/>
    <w:rsid w:val="006D4EF1"/>
    <w:rsid w:val="006D73CF"/>
    <w:rsid w:val="006E5216"/>
    <w:rsid w:val="00705894"/>
    <w:rsid w:val="007065B9"/>
    <w:rsid w:val="00706BB5"/>
    <w:rsid w:val="0071379A"/>
    <w:rsid w:val="007138DD"/>
    <w:rsid w:val="00715A1B"/>
    <w:rsid w:val="00716CD4"/>
    <w:rsid w:val="0072304B"/>
    <w:rsid w:val="00725097"/>
    <w:rsid w:val="00726239"/>
    <w:rsid w:val="00731099"/>
    <w:rsid w:val="0073131A"/>
    <w:rsid w:val="0073142D"/>
    <w:rsid w:val="00734F5D"/>
    <w:rsid w:val="00740B6C"/>
    <w:rsid w:val="00740E97"/>
    <w:rsid w:val="007417F0"/>
    <w:rsid w:val="00742A5D"/>
    <w:rsid w:val="00742C05"/>
    <w:rsid w:val="00742D7B"/>
    <w:rsid w:val="00742F84"/>
    <w:rsid w:val="00745AB9"/>
    <w:rsid w:val="007465B2"/>
    <w:rsid w:val="00746804"/>
    <w:rsid w:val="00750EDC"/>
    <w:rsid w:val="00754446"/>
    <w:rsid w:val="00757216"/>
    <w:rsid w:val="00763A3A"/>
    <w:rsid w:val="007670B0"/>
    <w:rsid w:val="00767BA9"/>
    <w:rsid w:val="007707EB"/>
    <w:rsid w:val="00780F9D"/>
    <w:rsid w:val="007812E5"/>
    <w:rsid w:val="007845B8"/>
    <w:rsid w:val="007859EF"/>
    <w:rsid w:val="00792256"/>
    <w:rsid w:val="00796C7F"/>
    <w:rsid w:val="007A1E7D"/>
    <w:rsid w:val="007A4548"/>
    <w:rsid w:val="007B1935"/>
    <w:rsid w:val="007B3921"/>
    <w:rsid w:val="007B739E"/>
    <w:rsid w:val="007C11C5"/>
    <w:rsid w:val="007C214B"/>
    <w:rsid w:val="007C331C"/>
    <w:rsid w:val="007C6108"/>
    <w:rsid w:val="007C715E"/>
    <w:rsid w:val="007D547D"/>
    <w:rsid w:val="007D7118"/>
    <w:rsid w:val="007E34AD"/>
    <w:rsid w:val="007E60BE"/>
    <w:rsid w:val="007E7467"/>
    <w:rsid w:val="007F09AC"/>
    <w:rsid w:val="008063B8"/>
    <w:rsid w:val="008069F8"/>
    <w:rsid w:val="00810AE1"/>
    <w:rsid w:val="00814AA2"/>
    <w:rsid w:val="0081518D"/>
    <w:rsid w:val="00816AA8"/>
    <w:rsid w:val="00820BFC"/>
    <w:rsid w:val="00823238"/>
    <w:rsid w:val="008261CD"/>
    <w:rsid w:val="0082791D"/>
    <w:rsid w:val="00832C22"/>
    <w:rsid w:val="0083330A"/>
    <w:rsid w:val="0083357C"/>
    <w:rsid w:val="0083611E"/>
    <w:rsid w:val="008369D0"/>
    <w:rsid w:val="00836C83"/>
    <w:rsid w:val="008441AA"/>
    <w:rsid w:val="00855D91"/>
    <w:rsid w:val="00857909"/>
    <w:rsid w:val="00863B91"/>
    <w:rsid w:val="00866D49"/>
    <w:rsid w:val="00867285"/>
    <w:rsid w:val="00870F31"/>
    <w:rsid w:val="00872F39"/>
    <w:rsid w:val="00876877"/>
    <w:rsid w:val="00876BD9"/>
    <w:rsid w:val="008806C3"/>
    <w:rsid w:val="008825B9"/>
    <w:rsid w:val="008832EE"/>
    <w:rsid w:val="00884222"/>
    <w:rsid w:val="0088424C"/>
    <w:rsid w:val="00884455"/>
    <w:rsid w:val="008846A3"/>
    <w:rsid w:val="00884C59"/>
    <w:rsid w:val="00885EC8"/>
    <w:rsid w:val="0089246B"/>
    <w:rsid w:val="008A5D91"/>
    <w:rsid w:val="008A71EA"/>
    <w:rsid w:val="008B3116"/>
    <w:rsid w:val="008B34CF"/>
    <w:rsid w:val="008B370B"/>
    <w:rsid w:val="008B4CD8"/>
    <w:rsid w:val="008C22F6"/>
    <w:rsid w:val="008C2BDF"/>
    <w:rsid w:val="008C3BF3"/>
    <w:rsid w:val="008C4659"/>
    <w:rsid w:val="008C6BE4"/>
    <w:rsid w:val="008D150B"/>
    <w:rsid w:val="008E19E8"/>
    <w:rsid w:val="008E34C4"/>
    <w:rsid w:val="008E3BCE"/>
    <w:rsid w:val="008E4ADB"/>
    <w:rsid w:val="008E4DD5"/>
    <w:rsid w:val="008E79EE"/>
    <w:rsid w:val="008F2463"/>
    <w:rsid w:val="008F2762"/>
    <w:rsid w:val="009003E5"/>
    <w:rsid w:val="00906DBC"/>
    <w:rsid w:val="0091011D"/>
    <w:rsid w:val="00913BD8"/>
    <w:rsid w:val="00916DD6"/>
    <w:rsid w:val="009215AB"/>
    <w:rsid w:val="00921740"/>
    <w:rsid w:val="00923C53"/>
    <w:rsid w:val="009270E9"/>
    <w:rsid w:val="00927A28"/>
    <w:rsid w:val="00930FA2"/>
    <w:rsid w:val="00931C68"/>
    <w:rsid w:val="00932F5F"/>
    <w:rsid w:val="00933794"/>
    <w:rsid w:val="00933FB8"/>
    <w:rsid w:val="00940D91"/>
    <w:rsid w:val="00941E52"/>
    <w:rsid w:val="009461EC"/>
    <w:rsid w:val="009544DD"/>
    <w:rsid w:val="00957C01"/>
    <w:rsid w:val="0096071B"/>
    <w:rsid w:val="00961882"/>
    <w:rsid w:val="00961CB1"/>
    <w:rsid w:val="00963A34"/>
    <w:rsid w:val="00963D0C"/>
    <w:rsid w:val="0096484C"/>
    <w:rsid w:val="00970F0B"/>
    <w:rsid w:val="00971F54"/>
    <w:rsid w:val="00973BFB"/>
    <w:rsid w:val="00976191"/>
    <w:rsid w:val="0097665A"/>
    <w:rsid w:val="00977A71"/>
    <w:rsid w:val="00980970"/>
    <w:rsid w:val="00981414"/>
    <w:rsid w:val="009839DF"/>
    <w:rsid w:val="00983BA4"/>
    <w:rsid w:val="00983D4C"/>
    <w:rsid w:val="009910AB"/>
    <w:rsid w:val="0099367C"/>
    <w:rsid w:val="00997758"/>
    <w:rsid w:val="00997F06"/>
    <w:rsid w:val="009A2EAD"/>
    <w:rsid w:val="009A35E2"/>
    <w:rsid w:val="009A35E7"/>
    <w:rsid w:val="009A4D53"/>
    <w:rsid w:val="009A5A1C"/>
    <w:rsid w:val="009B5DCB"/>
    <w:rsid w:val="009B714A"/>
    <w:rsid w:val="009C12A7"/>
    <w:rsid w:val="009D0F14"/>
    <w:rsid w:val="009D2FF7"/>
    <w:rsid w:val="009D35A5"/>
    <w:rsid w:val="009D5166"/>
    <w:rsid w:val="009D53F8"/>
    <w:rsid w:val="009E05E6"/>
    <w:rsid w:val="009E238B"/>
    <w:rsid w:val="009E3881"/>
    <w:rsid w:val="009E6545"/>
    <w:rsid w:val="009F5696"/>
    <w:rsid w:val="009F6BF1"/>
    <w:rsid w:val="00A00A8D"/>
    <w:rsid w:val="00A00BAE"/>
    <w:rsid w:val="00A07118"/>
    <w:rsid w:val="00A07871"/>
    <w:rsid w:val="00A13982"/>
    <w:rsid w:val="00A14038"/>
    <w:rsid w:val="00A21721"/>
    <w:rsid w:val="00A228B3"/>
    <w:rsid w:val="00A22913"/>
    <w:rsid w:val="00A24180"/>
    <w:rsid w:val="00A325A9"/>
    <w:rsid w:val="00A325FB"/>
    <w:rsid w:val="00A32905"/>
    <w:rsid w:val="00A34377"/>
    <w:rsid w:val="00A34C97"/>
    <w:rsid w:val="00A35199"/>
    <w:rsid w:val="00A4368A"/>
    <w:rsid w:val="00A460AA"/>
    <w:rsid w:val="00A47EC6"/>
    <w:rsid w:val="00A52ABF"/>
    <w:rsid w:val="00A54BF7"/>
    <w:rsid w:val="00A55D1A"/>
    <w:rsid w:val="00A61E1E"/>
    <w:rsid w:val="00A653B6"/>
    <w:rsid w:val="00A703E7"/>
    <w:rsid w:val="00A718ED"/>
    <w:rsid w:val="00A7333F"/>
    <w:rsid w:val="00A74E7D"/>
    <w:rsid w:val="00A767B3"/>
    <w:rsid w:val="00A7692F"/>
    <w:rsid w:val="00A777CB"/>
    <w:rsid w:val="00A81A87"/>
    <w:rsid w:val="00A81E46"/>
    <w:rsid w:val="00A81FA9"/>
    <w:rsid w:val="00A82285"/>
    <w:rsid w:val="00A85FEE"/>
    <w:rsid w:val="00A87774"/>
    <w:rsid w:val="00A912B1"/>
    <w:rsid w:val="00A93BEF"/>
    <w:rsid w:val="00AA1745"/>
    <w:rsid w:val="00AA25B9"/>
    <w:rsid w:val="00AA35FB"/>
    <w:rsid w:val="00AA471A"/>
    <w:rsid w:val="00AA50F0"/>
    <w:rsid w:val="00AA5AF9"/>
    <w:rsid w:val="00AB07F2"/>
    <w:rsid w:val="00AB0E76"/>
    <w:rsid w:val="00AB1FCB"/>
    <w:rsid w:val="00AB2D08"/>
    <w:rsid w:val="00AB4697"/>
    <w:rsid w:val="00AB7F4A"/>
    <w:rsid w:val="00AD0BE2"/>
    <w:rsid w:val="00AD1169"/>
    <w:rsid w:val="00AE227C"/>
    <w:rsid w:val="00AE2DEC"/>
    <w:rsid w:val="00AF052B"/>
    <w:rsid w:val="00AF05A0"/>
    <w:rsid w:val="00AF2BCE"/>
    <w:rsid w:val="00AF5502"/>
    <w:rsid w:val="00AF55C9"/>
    <w:rsid w:val="00AF5D3F"/>
    <w:rsid w:val="00B0711F"/>
    <w:rsid w:val="00B103FF"/>
    <w:rsid w:val="00B11532"/>
    <w:rsid w:val="00B13CDA"/>
    <w:rsid w:val="00B14DB9"/>
    <w:rsid w:val="00B20AAF"/>
    <w:rsid w:val="00B21855"/>
    <w:rsid w:val="00B2297E"/>
    <w:rsid w:val="00B255EE"/>
    <w:rsid w:val="00B41E1C"/>
    <w:rsid w:val="00B424A8"/>
    <w:rsid w:val="00B45BC0"/>
    <w:rsid w:val="00B515EA"/>
    <w:rsid w:val="00B62ED1"/>
    <w:rsid w:val="00B66707"/>
    <w:rsid w:val="00B7415B"/>
    <w:rsid w:val="00B74517"/>
    <w:rsid w:val="00B74DCE"/>
    <w:rsid w:val="00B80A94"/>
    <w:rsid w:val="00B81031"/>
    <w:rsid w:val="00B855D9"/>
    <w:rsid w:val="00B85DCD"/>
    <w:rsid w:val="00B903DA"/>
    <w:rsid w:val="00B943AD"/>
    <w:rsid w:val="00B95AC9"/>
    <w:rsid w:val="00BA145E"/>
    <w:rsid w:val="00BA2C08"/>
    <w:rsid w:val="00BA6A59"/>
    <w:rsid w:val="00BA7220"/>
    <w:rsid w:val="00BA7554"/>
    <w:rsid w:val="00BB1627"/>
    <w:rsid w:val="00BB2B57"/>
    <w:rsid w:val="00BB5223"/>
    <w:rsid w:val="00BB7D67"/>
    <w:rsid w:val="00BC3811"/>
    <w:rsid w:val="00BC5200"/>
    <w:rsid w:val="00BC5ED0"/>
    <w:rsid w:val="00BC6DE6"/>
    <w:rsid w:val="00BC72C3"/>
    <w:rsid w:val="00BC7F31"/>
    <w:rsid w:val="00BD3FE0"/>
    <w:rsid w:val="00BD5019"/>
    <w:rsid w:val="00BD5479"/>
    <w:rsid w:val="00BD5819"/>
    <w:rsid w:val="00BE3188"/>
    <w:rsid w:val="00BF0B57"/>
    <w:rsid w:val="00BF0FCE"/>
    <w:rsid w:val="00BF1E13"/>
    <w:rsid w:val="00BF2A50"/>
    <w:rsid w:val="00BF2CD7"/>
    <w:rsid w:val="00BF54CD"/>
    <w:rsid w:val="00BF56E1"/>
    <w:rsid w:val="00BF7E9D"/>
    <w:rsid w:val="00C00648"/>
    <w:rsid w:val="00C032B7"/>
    <w:rsid w:val="00C10F53"/>
    <w:rsid w:val="00C14A81"/>
    <w:rsid w:val="00C22BF0"/>
    <w:rsid w:val="00C25A8A"/>
    <w:rsid w:val="00C264C3"/>
    <w:rsid w:val="00C2797C"/>
    <w:rsid w:val="00C32A11"/>
    <w:rsid w:val="00C32C8D"/>
    <w:rsid w:val="00C42D6F"/>
    <w:rsid w:val="00C509C4"/>
    <w:rsid w:val="00C639E9"/>
    <w:rsid w:val="00C65306"/>
    <w:rsid w:val="00C653CB"/>
    <w:rsid w:val="00C675AE"/>
    <w:rsid w:val="00C67A3D"/>
    <w:rsid w:val="00C701FF"/>
    <w:rsid w:val="00C704F3"/>
    <w:rsid w:val="00C74958"/>
    <w:rsid w:val="00C826E8"/>
    <w:rsid w:val="00C834C5"/>
    <w:rsid w:val="00C841A2"/>
    <w:rsid w:val="00C85867"/>
    <w:rsid w:val="00C90389"/>
    <w:rsid w:val="00C91CC4"/>
    <w:rsid w:val="00C9202A"/>
    <w:rsid w:val="00C928AD"/>
    <w:rsid w:val="00C93BC0"/>
    <w:rsid w:val="00C97860"/>
    <w:rsid w:val="00CA51E8"/>
    <w:rsid w:val="00CB0BF4"/>
    <w:rsid w:val="00CB0FA0"/>
    <w:rsid w:val="00CB1747"/>
    <w:rsid w:val="00CB5E80"/>
    <w:rsid w:val="00CC7E41"/>
    <w:rsid w:val="00CD13C9"/>
    <w:rsid w:val="00CD3FF2"/>
    <w:rsid w:val="00CF23A3"/>
    <w:rsid w:val="00CF25C2"/>
    <w:rsid w:val="00CF56A9"/>
    <w:rsid w:val="00D00D91"/>
    <w:rsid w:val="00D02F98"/>
    <w:rsid w:val="00D05823"/>
    <w:rsid w:val="00D07B61"/>
    <w:rsid w:val="00D12586"/>
    <w:rsid w:val="00D159B9"/>
    <w:rsid w:val="00D172ED"/>
    <w:rsid w:val="00D20A3A"/>
    <w:rsid w:val="00D26BE2"/>
    <w:rsid w:val="00D30F0B"/>
    <w:rsid w:val="00D3219D"/>
    <w:rsid w:val="00D325E7"/>
    <w:rsid w:val="00D34044"/>
    <w:rsid w:val="00D3470A"/>
    <w:rsid w:val="00D37B58"/>
    <w:rsid w:val="00D43E46"/>
    <w:rsid w:val="00D4474B"/>
    <w:rsid w:val="00D46C05"/>
    <w:rsid w:val="00D5059D"/>
    <w:rsid w:val="00D51648"/>
    <w:rsid w:val="00D53049"/>
    <w:rsid w:val="00D62669"/>
    <w:rsid w:val="00D630B5"/>
    <w:rsid w:val="00D630CE"/>
    <w:rsid w:val="00D7445B"/>
    <w:rsid w:val="00D74BF3"/>
    <w:rsid w:val="00D76EF8"/>
    <w:rsid w:val="00D77DAC"/>
    <w:rsid w:val="00D81A19"/>
    <w:rsid w:val="00D847D9"/>
    <w:rsid w:val="00D86931"/>
    <w:rsid w:val="00D955F9"/>
    <w:rsid w:val="00D97D67"/>
    <w:rsid w:val="00DA12DC"/>
    <w:rsid w:val="00DB176A"/>
    <w:rsid w:val="00DB31C6"/>
    <w:rsid w:val="00DB6115"/>
    <w:rsid w:val="00DC0174"/>
    <w:rsid w:val="00DC2AD4"/>
    <w:rsid w:val="00DC3112"/>
    <w:rsid w:val="00DC41D6"/>
    <w:rsid w:val="00DC4F03"/>
    <w:rsid w:val="00DD4C0B"/>
    <w:rsid w:val="00DD67A9"/>
    <w:rsid w:val="00DE09CF"/>
    <w:rsid w:val="00DE3234"/>
    <w:rsid w:val="00DE3E37"/>
    <w:rsid w:val="00DE59F6"/>
    <w:rsid w:val="00DF41FC"/>
    <w:rsid w:val="00DF6FD5"/>
    <w:rsid w:val="00E018B6"/>
    <w:rsid w:val="00E01F8C"/>
    <w:rsid w:val="00E02CC0"/>
    <w:rsid w:val="00E11A6A"/>
    <w:rsid w:val="00E11B84"/>
    <w:rsid w:val="00E129DC"/>
    <w:rsid w:val="00E142B2"/>
    <w:rsid w:val="00E14C2C"/>
    <w:rsid w:val="00E177A0"/>
    <w:rsid w:val="00E238AE"/>
    <w:rsid w:val="00E247C4"/>
    <w:rsid w:val="00E25766"/>
    <w:rsid w:val="00E31A6D"/>
    <w:rsid w:val="00E32C47"/>
    <w:rsid w:val="00E3458B"/>
    <w:rsid w:val="00E34A38"/>
    <w:rsid w:val="00E37390"/>
    <w:rsid w:val="00E37DE8"/>
    <w:rsid w:val="00E46F9D"/>
    <w:rsid w:val="00E52091"/>
    <w:rsid w:val="00E6136D"/>
    <w:rsid w:val="00E61561"/>
    <w:rsid w:val="00E674B8"/>
    <w:rsid w:val="00E67BE2"/>
    <w:rsid w:val="00E71200"/>
    <w:rsid w:val="00E72DA6"/>
    <w:rsid w:val="00E75276"/>
    <w:rsid w:val="00E83C28"/>
    <w:rsid w:val="00E857F3"/>
    <w:rsid w:val="00E87462"/>
    <w:rsid w:val="00E87AC8"/>
    <w:rsid w:val="00E90E81"/>
    <w:rsid w:val="00E92496"/>
    <w:rsid w:val="00E944AB"/>
    <w:rsid w:val="00E96CF1"/>
    <w:rsid w:val="00E9741C"/>
    <w:rsid w:val="00EA1534"/>
    <w:rsid w:val="00EA2B0A"/>
    <w:rsid w:val="00EA6D31"/>
    <w:rsid w:val="00EB3D28"/>
    <w:rsid w:val="00EB4858"/>
    <w:rsid w:val="00EB577C"/>
    <w:rsid w:val="00EC0614"/>
    <w:rsid w:val="00EC142E"/>
    <w:rsid w:val="00ED0661"/>
    <w:rsid w:val="00ED167B"/>
    <w:rsid w:val="00ED4D12"/>
    <w:rsid w:val="00ED713A"/>
    <w:rsid w:val="00ED780F"/>
    <w:rsid w:val="00EE5D45"/>
    <w:rsid w:val="00EE6599"/>
    <w:rsid w:val="00EF6DCB"/>
    <w:rsid w:val="00F011D8"/>
    <w:rsid w:val="00F0351A"/>
    <w:rsid w:val="00F03A77"/>
    <w:rsid w:val="00F03FB0"/>
    <w:rsid w:val="00F06445"/>
    <w:rsid w:val="00F06CCF"/>
    <w:rsid w:val="00F14CB3"/>
    <w:rsid w:val="00F15C46"/>
    <w:rsid w:val="00F212C7"/>
    <w:rsid w:val="00F33BB9"/>
    <w:rsid w:val="00F356D7"/>
    <w:rsid w:val="00F367A8"/>
    <w:rsid w:val="00F36B44"/>
    <w:rsid w:val="00F36B92"/>
    <w:rsid w:val="00F408B5"/>
    <w:rsid w:val="00F4293A"/>
    <w:rsid w:val="00F42FF8"/>
    <w:rsid w:val="00F5012E"/>
    <w:rsid w:val="00F50706"/>
    <w:rsid w:val="00F50B1B"/>
    <w:rsid w:val="00F50B72"/>
    <w:rsid w:val="00F55C5B"/>
    <w:rsid w:val="00F6359E"/>
    <w:rsid w:val="00F64623"/>
    <w:rsid w:val="00F65695"/>
    <w:rsid w:val="00F66AEA"/>
    <w:rsid w:val="00F707A3"/>
    <w:rsid w:val="00F77A36"/>
    <w:rsid w:val="00F805B8"/>
    <w:rsid w:val="00F80901"/>
    <w:rsid w:val="00F81C0A"/>
    <w:rsid w:val="00F8646F"/>
    <w:rsid w:val="00F908EE"/>
    <w:rsid w:val="00F9379F"/>
    <w:rsid w:val="00F94F8D"/>
    <w:rsid w:val="00F97716"/>
    <w:rsid w:val="00F97EB1"/>
    <w:rsid w:val="00FA3EE5"/>
    <w:rsid w:val="00FA6E95"/>
    <w:rsid w:val="00FB3954"/>
    <w:rsid w:val="00FB3E90"/>
    <w:rsid w:val="00FB6F91"/>
    <w:rsid w:val="00FC06E9"/>
    <w:rsid w:val="00FC0CB8"/>
    <w:rsid w:val="00FC2CB5"/>
    <w:rsid w:val="00FC4663"/>
    <w:rsid w:val="00FC56A4"/>
    <w:rsid w:val="00FD1AB4"/>
    <w:rsid w:val="00FD1B4A"/>
    <w:rsid w:val="00FD40F0"/>
    <w:rsid w:val="00FE6E34"/>
    <w:rsid w:val="00FE7944"/>
    <w:rsid w:val="00FF02D1"/>
    <w:rsid w:val="00FF137A"/>
    <w:rsid w:val="00FF2198"/>
    <w:rsid w:val="00FF2271"/>
    <w:rsid w:val="00FF30E6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A39A"/>
  <w15:chartTrackingRefBased/>
  <w15:docId w15:val="{A5A8BCB3-0E0F-47BD-A183-710B5F17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semiHidden/>
    <w:unhideWhenUsed/>
    <w:rsid w:val="00DE3E37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B3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FB3E90"/>
    <w:rPr>
      <w:b/>
      <w:bCs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FB3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FB3E90"/>
    <w:rPr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FB3E90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B3E90"/>
    <w:rPr>
      <w:b/>
      <w:bCs/>
      <w:i/>
      <w:iCs/>
      <w:color w:val="000000"/>
      <w:sz w:val="22"/>
      <w:szCs w:val="22"/>
    </w:rPr>
  </w:style>
  <w:style w:type="character" w:customStyle="1" w:styleId="A9">
    <w:name w:val="A9"/>
    <w:uiPriority w:val="99"/>
    <w:rsid w:val="00FB3E90"/>
    <w:rPr>
      <w:color w:val="000000"/>
      <w:sz w:val="11"/>
      <w:szCs w:val="11"/>
    </w:rPr>
  </w:style>
  <w:style w:type="character" w:customStyle="1" w:styleId="A7">
    <w:name w:val="A7"/>
    <w:uiPriority w:val="99"/>
    <w:rsid w:val="00FB3E90"/>
    <w:rPr>
      <w:color w:val="000000"/>
      <w:sz w:val="11"/>
      <w:szCs w:val="11"/>
    </w:rPr>
  </w:style>
  <w:style w:type="table" w:styleId="TableGrid">
    <w:name w:val="Table Grid"/>
    <w:basedOn w:val="TableNormal"/>
    <w:uiPriority w:val="39"/>
    <w:rsid w:val="00AB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F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30F0B"/>
  </w:style>
  <w:style w:type="paragraph" w:styleId="NormalWeb">
    <w:name w:val="Normal (Web)"/>
    <w:basedOn w:val="Normal"/>
    <w:uiPriority w:val="99"/>
    <w:unhideWhenUsed/>
    <w:rsid w:val="00EB3D28"/>
    <w:pPr>
      <w:spacing w:before="100" w:beforeAutospacing="1" w:after="100" w:afterAutospacing="1"/>
    </w:pPr>
  </w:style>
  <w:style w:type="paragraph" w:customStyle="1" w:styleId="p">
    <w:name w:val="p"/>
    <w:basedOn w:val="Normal"/>
    <w:rsid w:val="007707E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15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C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1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1DE"/>
    <w:rPr>
      <w:rFonts w:ascii="Times New Roman" w:eastAsia="Times New Roman" w:hAnsi="Times New Roman" w:cs="Times New Roman"/>
      <w:sz w:val="24"/>
      <w:szCs w:val="24"/>
    </w:rPr>
  </w:style>
  <w:style w:type="paragraph" w:customStyle="1" w:styleId="MDPI43tablefooter">
    <w:name w:val="MDPI_4.3_table_footer"/>
    <w:next w:val="Normal"/>
    <w:qFormat/>
    <w:rsid w:val="00C841A2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3810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AD25-8E5C-B749-95ED-430931BA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2</Pages>
  <Words>369</Words>
  <Characters>2181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DR.Rabab A. Rasheed</cp:lastModifiedBy>
  <cp:revision>281</cp:revision>
  <dcterms:created xsi:type="dcterms:W3CDTF">2022-02-08T06:24:00Z</dcterms:created>
  <dcterms:modified xsi:type="dcterms:W3CDTF">2022-08-01T21:51:00Z</dcterms:modified>
</cp:coreProperties>
</file>