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F884" w14:textId="1118921B" w:rsidR="00830797" w:rsidRDefault="00830797" w:rsidP="0083079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File S1</w:t>
      </w:r>
    </w:p>
    <w:p w14:paraId="6E5DF4EE" w14:textId="18193C4C" w:rsidR="00830797" w:rsidRPr="007E5FAE" w:rsidRDefault="00830797" w:rsidP="0083079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FAE">
        <w:rPr>
          <w:rFonts w:ascii="Times New Roman" w:hAnsi="Times New Roman" w:cs="Times New Roman"/>
          <w:b/>
          <w:bCs/>
          <w:sz w:val="24"/>
          <w:szCs w:val="24"/>
        </w:rPr>
        <w:t xml:space="preserve">Protective Effects of </w:t>
      </w:r>
      <w:proofErr w:type="spellStart"/>
      <w:r w:rsidRPr="007E5FAE">
        <w:rPr>
          <w:rFonts w:ascii="Times New Roman" w:hAnsi="Times New Roman" w:cs="Times New Roman"/>
          <w:b/>
          <w:bCs/>
          <w:sz w:val="24"/>
          <w:szCs w:val="24"/>
        </w:rPr>
        <w:t>Aucubin</w:t>
      </w:r>
      <w:proofErr w:type="spellEnd"/>
      <w:r w:rsidRPr="007E5FAE">
        <w:rPr>
          <w:rFonts w:ascii="Times New Roman" w:hAnsi="Times New Roman" w:cs="Times New Roman"/>
          <w:b/>
          <w:bCs/>
          <w:sz w:val="24"/>
          <w:szCs w:val="24"/>
        </w:rPr>
        <w:t xml:space="preserve"> against </w:t>
      </w:r>
      <w:proofErr w:type="spellStart"/>
      <w:r w:rsidRPr="007E5FAE">
        <w:rPr>
          <w:rFonts w:ascii="Times New Roman" w:hAnsi="Times New Roman" w:cs="Times New Roman"/>
          <w:b/>
          <w:bCs/>
          <w:sz w:val="24"/>
          <w:szCs w:val="24"/>
        </w:rPr>
        <w:t>Nonylphenol</w:t>
      </w:r>
      <w:proofErr w:type="spellEnd"/>
      <w:r w:rsidRPr="007E5FAE">
        <w:rPr>
          <w:rFonts w:ascii="Times New Roman" w:hAnsi="Times New Roman" w:cs="Times New Roman"/>
          <w:b/>
          <w:bCs/>
          <w:sz w:val="24"/>
          <w:szCs w:val="24"/>
        </w:rPr>
        <w:t>-Induced Liver Toxicity by Improving Biochemical, Inflammatory and Histopathological Indices</w:t>
      </w:r>
    </w:p>
    <w:p w14:paraId="3D151F48" w14:textId="7A0BA60F" w:rsidR="00830797" w:rsidRPr="00830797" w:rsidRDefault="00830797" w:rsidP="0083079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proofErr w:type="spellStart"/>
      <w:r w:rsidRPr="0012442D">
        <w:rPr>
          <w:rFonts w:ascii="Times New Roman" w:hAnsi="Times New Roman" w:cs="Times New Roman"/>
          <w:sz w:val="24"/>
          <w:szCs w:val="24"/>
        </w:rPr>
        <w:t>Asad</w:t>
      </w:r>
      <w:proofErr w:type="spellEnd"/>
      <w:r w:rsidRPr="0012442D">
        <w:rPr>
          <w:rFonts w:ascii="Times New Roman" w:hAnsi="Times New Roman" w:cs="Times New Roman"/>
          <w:sz w:val="24"/>
          <w:szCs w:val="24"/>
        </w:rPr>
        <w:t xml:space="preserve"> Rehman</w:t>
      </w:r>
      <w:r w:rsidRPr="001244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44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42D">
        <w:rPr>
          <w:rFonts w:ascii="Times New Roman" w:hAnsi="Times New Roman" w:cs="Times New Roman"/>
          <w:sz w:val="24"/>
          <w:szCs w:val="24"/>
        </w:rPr>
        <w:t>Arfa</w:t>
      </w:r>
      <w:proofErr w:type="spellEnd"/>
      <w:r w:rsidRPr="0012442D">
        <w:rPr>
          <w:rFonts w:ascii="Times New Roman" w:hAnsi="Times New Roman" w:cs="Times New Roman"/>
          <w:sz w:val="24"/>
          <w:szCs w:val="24"/>
        </w:rPr>
        <w:t xml:space="preserve"> Tahir</w:t>
      </w:r>
      <w:r w:rsidRPr="001244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44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42D">
        <w:rPr>
          <w:rFonts w:ascii="Times New Roman" w:hAnsi="Times New Roman" w:cs="Times New Roman"/>
          <w:sz w:val="24"/>
          <w:szCs w:val="24"/>
        </w:rPr>
        <w:t>Nazia</w:t>
      </w:r>
      <w:proofErr w:type="spellEnd"/>
      <w:r w:rsidRPr="0012442D">
        <w:rPr>
          <w:rFonts w:ascii="Times New Roman" w:hAnsi="Times New Roman" w:cs="Times New Roman"/>
          <w:sz w:val="24"/>
          <w:szCs w:val="24"/>
        </w:rPr>
        <w:t xml:space="preserve"> Ehsan</w:t>
      </w:r>
      <w:r w:rsidRPr="001244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442D">
        <w:rPr>
          <w:rFonts w:ascii="Times New Roman" w:hAnsi="Times New Roman" w:cs="Times New Roman"/>
          <w:sz w:val="24"/>
          <w:szCs w:val="24"/>
        </w:rPr>
        <w:t>, Muhammad Umar Ijaz</w:t>
      </w:r>
      <w:r w:rsidRPr="0012442D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12442D">
        <w:rPr>
          <w:rFonts w:ascii="Times New Roman" w:hAnsi="Times New Roman" w:cs="Times New Roman"/>
          <w:sz w:val="24"/>
          <w:szCs w:val="24"/>
        </w:rPr>
        <w:t xml:space="preserve">, </w:t>
      </w:r>
      <w:r w:rsidRPr="0012442D">
        <w:rPr>
          <w:rFonts w:asciiTheme="majorBidi" w:hAnsiTheme="majorBidi" w:cstheme="majorBidi"/>
          <w:sz w:val="24"/>
          <w:szCs w:val="24"/>
        </w:rPr>
        <w:t>Tayyaba Afsar</w:t>
      </w:r>
      <w:r w:rsidRPr="0012442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2442D">
        <w:rPr>
          <w:rFonts w:asciiTheme="majorBidi" w:hAnsiTheme="majorBidi" w:cstheme="majorBidi"/>
          <w:sz w:val="24"/>
          <w:szCs w:val="24"/>
        </w:rPr>
        <w:t>. Ali Almajwal</w:t>
      </w:r>
      <w:r w:rsidRPr="0012442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244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7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Nawaf</w:t>
      </w:r>
      <w:proofErr w:type="spellEnd"/>
      <w:r w:rsidRPr="003C7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W. Alruwaili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244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Zafarul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Hasan</w:t>
      </w:r>
      <w:r w:rsidRPr="00902003"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D12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Houda</w:t>
      </w:r>
      <w:proofErr w:type="spellEnd"/>
      <w:r w:rsidRPr="00DD121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Amor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vertAlign w:val="superscript"/>
        </w:rPr>
        <w:t xml:space="preserve">4, </w:t>
      </w:r>
      <w:proofErr w:type="spellStart"/>
      <w:r w:rsidRPr="0012442D">
        <w:rPr>
          <w:rFonts w:asciiTheme="majorBidi" w:hAnsiTheme="majorBidi" w:cstheme="majorBidi"/>
          <w:sz w:val="24"/>
          <w:szCs w:val="24"/>
        </w:rPr>
        <w:t>Suhail</w:t>
      </w:r>
      <w:proofErr w:type="spellEnd"/>
      <w:r w:rsidRPr="0012442D">
        <w:rPr>
          <w:rFonts w:asciiTheme="majorBidi" w:hAnsiTheme="majorBidi" w:cstheme="majorBidi"/>
          <w:sz w:val="24"/>
          <w:szCs w:val="24"/>
        </w:rPr>
        <w:t xml:space="preserve"> Razak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bookmarkEnd w:id="0"/>
      <w:r w:rsidRPr="0012442D">
        <w:rPr>
          <w:rFonts w:asciiTheme="majorBidi" w:hAnsiTheme="majorBidi" w:cstheme="majorBidi"/>
          <w:sz w:val="24"/>
          <w:szCs w:val="24"/>
          <w:vertAlign w:val="superscript"/>
        </w:rPr>
        <w:t>*</w:t>
      </w:r>
    </w:p>
    <w:p w14:paraId="14FD4881" w14:textId="6682A587" w:rsidR="00AC4253" w:rsidRPr="00196F9F" w:rsidRDefault="00AC4253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>Biochemical assays</w:t>
      </w:r>
    </w:p>
    <w:p w14:paraId="2BBF9F74" w14:textId="70E04347" w:rsidR="00AC4253" w:rsidRPr="00196F9F" w:rsidRDefault="00AC4253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>Assessment of SOD</w:t>
      </w:r>
    </w:p>
    <w:p w14:paraId="6FC3BA7D" w14:textId="7742A9E3" w:rsidR="00AC4253" w:rsidRDefault="00AC4253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9F">
        <w:rPr>
          <w:rFonts w:ascii="Times New Roman" w:hAnsi="Times New Roman" w:cs="Times New Roman"/>
          <w:sz w:val="24"/>
          <w:szCs w:val="24"/>
        </w:rPr>
        <w:t xml:space="preserve">Superoxide dismutase activity was measured by following technique of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Kakkar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et al.</w:t>
      </w:r>
      <w:r w:rsidR="006D1B91">
        <w:rPr>
          <w:rFonts w:ascii="Times New Roman" w:hAnsi="Times New Roman" w:cs="Times New Roman"/>
          <w:sz w:val="24"/>
          <w:szCs w:val="24"/>
        </w:rPr>
        <w:t xml:space="preserve"> (1984). </w:t>
      </w:r>
      <w:r w:rsidRPr="00196F9F">
        <w:rPr>
          <w:rFonts w:ascii="Times New Roman" w:hAnsi="Times New Roman" w:cs="Times New Roman"/>
          <w:sz w:val="24"/>
          <w:szCs w:val="24"/>
        </w:rPr>
        <w:t>Reaction solution contained of 1.2 mL of sodium pyrophosphate buffer (0.052 mM; pH 7.0) and 0.1 mL of phenazine methosulphate (186 mM). 0.3 mL of supernatant</w:t>
      </w:r>
      <w:r w:rsidR="006D1B91">
        <w:rPr>
          <w:rFonts w:ascii="Times New Roman" w:hAnsi="Times New Roman" w:cs="Times New Roman"/>
          <w:sz w:val="24"/>
          <w:szCs w:val="24"/>
        </w:rPr>
        <w:t xml:space="preserve"> was</w:t>
      </w:r>
      <w:r w:rsidRPr="00196F9F">
        <w:rPr>
          <w:rFonts w:ascii="Times New Roman" w:hAnsi="Times New Roman" w:cs="Times New Roman"/>
          <w:sz w:val="24"/>
          <w:szCs w:val="24"/>
        </w:rPr>
        <w:t xml:space="preserve"> centrifug</w:t>
      </w:r>
      <w:r w:rsidR="006D1B91">
        <w:rPr>
          <w:rFonts w:ascii="Times New Roman" w:hAnsi="Times New Roman" w:cs="Times New Roman"/>
          <w:sz w:val="24"/>
          <w:szCs w:val="24"/>
        </w:rPr>
        <w:t xml:space="preserve">ed at </w:t>
      </w:r>
      <w:r w:rsidRPr="00196F9F">
        <w:rPr>
          <w:rFonts w:ascii="Times New Roman" w:hAnsi="Times New Roman" w:cs="Times New Roman"/>
          <w:sz w:val="24"/>
          <w:szCs w:val="24"/>
        </w:rPr>
        <w:t xml:space="preserve">1500g for 10 min </w:t>
      </w:r>
      <w:r w:rsidR="006D1B91">
        <w:rPr>
          <w:rFonts w:ascii="Times New Roman" w:hAnsi="Times New Roman" w:cs="Times New Roman"/>
          <w:sz w:val="24"/>
          <w:szCs w:val="24"/>
        </w:rPr>
        <w:t>and then at</w:t>
      </w:r>
      <w:r w:rsidRPr="00196F9F">
        <w:rPr>
          <w:rFonts w:ascii="Times New Roman" w:hAnsi="Times New Roman" w:cs="Times New Roman"/>
          <w:sz w:val="24"/>
          <w:szCs w:val="24"/>
        </w:rPr>
        <w:t xml:space="preserve"> 10000g for 15 min</w:t>
      </w:r>
      <w:r w:rsidR="006D1B91">
        <w:rPr>
          <w:rFonts w:ascii="Times New Roman" w:hAnsi="Times New Roman" w:cs="Times New Roman"/>
          <w:sz w:val="24"/>
          <w:szCs w:val="24"/>
        </w:rPr>
        <w:t xml:space="preserve"> and</w:t>
      </w:r>
      <w:r w:rsidRPr="00196F9F">
        <w:rPr>
          <w:rFonts w:ascii="Times New Roman" w:hAnsi="Times New Roman" w:cs="Times New Roman"/>
          <w:sz w:val="24"/>
          <w:szCs w:val="24"/>
        </w:rPr>
        <w:t xml:space="preserve"> added to the reaction mixture. Then, 0.2mL of NADH (780 mM) was added to start the enzyme reaction, which was later on ended by adding 1 mL of glacial acetic acid. Finally, chromogen was assessed by noticing the change in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intensity at 560 nm. </w:t>
      </w:r>
    </w:p>
    <w:p w14:paraId="465BF316" w14:textId="77777777" w:rsidR="006D1B91" w:rsidRPr="00196F9F" w:rsidRDefault="006D1B91" w:rsidP="006D1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>Evaluation of CAT</w:t>
      </w:r>
      <w:r w:rsidRPr="00196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0BA4E55" w14:textId="35E6EDEF" w:rsidR="006D1B91" w:rsidRDefault="006D1B91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9F">
        <w:rPr>
          <w:rFonts w:ascii="Times New Roman" w:hAnsi="Times New Roman" w:cs="Times New Roman"/>
          <w:sz w:val="24"/>
          <w:szCs w:val="24"/>
        </w:rPr>
        <w:t>The activity of catalase was determined by following the technique of Aebi.</w:t>
      </w:r>
      <w:r>
        <w:rPr>
          <w:rFonts w:ascii="Times New Roman" w:hAnsi="Times New Roman" w:cs="Times New Roman"/>
          <w:sz w:val="24"/>
          <w:szCs w:val="24"/>
        </w:rPr>
        <w:t xml:space="preserve"> (1974).</w:t>
      </w:r>
      <w:r w:rsidRPr="00196F9F">
        <w:rPr>
          <w:rFonts w:ascii="Times New Roman" w:hAnsi="Times New Roman" w:cs="Times New Roman"/>
          <w:sz w:val="24"/>
          <w:szCs w:val="24"/>
        </w:rPr>
        <w:t xml:space="preserve"> 50mL of tissues homogenate was diluted using 2 mL of phosphate buffer with 7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pH.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2 mL</w:t>
      </w:r>
      <w:r>
        <w:rPr>
          <w:rFonts w:ascii="Times New Roman" w:hAnsi="Times New Roman" w:cs="Times New Roman"/>
          <w:sz w:val="24"/>
          <w:szCs w:val="24"/>
        </w:rPr>
        <w:t xml:space="preserve"> of d</w:t>
      </w:r>
      <w:r w:rsidRPr="00196F9F">
        <w:rPr>
          <w:rFonts w:ascii="Times New Roman" w:hAnsi="Times New Roman" w:cs="Times New Roman"/>
          <w:sz w:val="24"/>
          <w:szCs w:val="24"/>
        </w:rPr>
        <w:t>iluted homogenate was added with phosphate buffer (1 mL) of pH 7 comprising 30 mM of H</w:t>
      </w:r>
      <w:r w:rsidRPr="006D1B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F9F">
        <w:rPr>
          <w:rFonts w:ascii="Times New Roman" w:hAnsi="Times New Roman" w:cs="Times New Roman"/>
          <w:sz w:val="24"/>
          <w:szCs w:val="24"/>
        </w:rPr>
        <w:t>O</w:t>
      </w:r>
      <w:r w:rsidRPr="006D1B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F9F">
        <w:rPr>
          <w:rFonts w:ascii="Times New Roman" w:hAnsi="Times New Roman" w:cs="Times New Roman"/>
          <w:sz w:val="24"/>
          <w:szCs w:val="24"/>
        </w:rPr>
        <w:t xml:space="preserve"> in the test tube and then, diluted water was added to blanks. After instantaneously mixing, absorbance was noted at 240 nm. </w:t>
      </w:r>
    </w:p>
    <w:p w14:paraId="7CC9FD8B" w14:textId="3A47CFD9" w:rsidR="00196F9F" w:rsidRPr="00196F9F" w:rsidRDefault="00196F9F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>Analysis of GS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14:paraId="1D44365C" w14:textId="118F92FE" w:rsidR="00933B9F" w:rsidRDefault="00933B9F" w:rsidP="000C1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9F">
        <w:rPr>
          <w:rFonts w:ascii="Times New Roman" w:hAnsi="Times New Roman" w:cs="Times New Roman"/>
          <w:sz w:val="24"/>
          <w:szCs w:val="24"/>
        </w:rPr>
        <w:t>GSH was evaluated using the methodology of </w:t>
      </w:r>
      <w:bookmarkStart w:id="1" w:name="bb0170"/>
      <w:proofErr w:type="spellStart"/>
      <w:r w:rsidRPr="006D1B91">
        <w:rPr>
          <w:rFonts w:ascii="Times New Roman" w:hAnsi="Times New Roman" w:cs="Times New Roman"/>
          <w:sz w:val="24"/>
          <w:szCs w:val="24"/>
        </w:rPr>
        <w:t>Jollow</w:t>
      </w:r>
      <w:proofErr w:type="spellEnd"/>
      <w:r w:rsidRPr="006D1B91">
        <w:rPr>
          <w:rFonts w:ascii="Times New Roman" w:hAnsi="Times New Roman" w:cs="Times New Roman"/>
          <w:sz w:val="24"/>
          <w:szCs w:val="24"/>
        </w:rPr>
        <w:t xml:space="preserve"> et al.</w:t>
      </w:r>
      <w:r w:rsidR="006D1B91" w:rsidRPr="006D1B91">
        <w:rPr>
          <w:rFonts w:ascii="Times New Roman" w:hAnsi="Times New Roman" w:cs="Times New Roman"/>
          <w:sz w:val="24"/>
          <w:szCs w:val="24"/>
        </w:rPr>
        <w:t xml:space="preserve"> </w:t>
      </w:r>
      <w:r w:rsidRPr="006D1B91">
        <w:rPr>
          <w:rFonts w:ascii="Times New Roman" w:hAnsi="Times New Roman" w:cs="Times New Roman"/>
          <w:sz w:val="24"/>
          <w:szCs w:val="24"/>
        </w:rPr>
        <w:t>(1974)</w:t>
      </w:r>
      <w:bookmarkEnd w:id="1"/>
      <w:r w:rsidRPr="00196F9F">
        <w:rPr>
          <w:rFonts w:ascii="Times New Roman" w:hAnsi="Times New Roman" w:cs="Times New Roman"/>
          <w:sz w:val="24"/>
          <w:szCs w:val="24"/>
        </w:rPr>
        <w:t> with some modifications.</w:t>
      </w:r>
      <w:r w:rsidR="006D1B91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1000 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of homogenate mixture was taken and dissolved in 1000 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0f 4% sulfosalicylic acid</w:t>
      </w:r>
      <w:r w:rsidR="006D1B91">
        <w:rPr>
          <w:rFonts w:ascii="Times New Roman" w:hAnsi="Times New Roman" w:cs="Times New Roman"/>
          <w:sz w:val="24"/>
          <w:szCs w:val="24"/>
        </w:rPr>
        <w:t>. The</w:t>
      </w:r>
      <w:r w:rsidRPr="00196F9F">
        <w:rPr>
          <w:rFonts w:ascii="Times New Roman" w:hAnsi="Times New Roman" w:cs="Times New Roman"/>
          <w:sz w:val="24"/>
          <w:szCs w:val="24"/>
        </w:rPr>
        <w:t xml:space="preserve"> solution was incubated at 4°C for one hour followed by centrifugation at 4°C for 20 min at 1200</w:t>
      </w:r>
      <w:r w:rsidRPr="00196F9F">
        <w:rPr>
          <w:rStyle w:val="Emphasis"/>
          <w:rFonts w:ascii="Times New Roman" w:hAnsi="Times New Roman" w:cs="Times New Roman"/>
          <w:sz w:val="24"/>
          <w:szCs w:val="24"/>
        </w:rPr>
        <w:t>g</w:t>
      </w:r>
      <w:r w:rsidRPr="00196F9F">
        <w:rPr>
          <w:rFonts w:ascii="Times New Roman" w:hAnsi="Times New Roman" w:cs="Times New Roman"/>
          <w:sz w:val="24"/>
          <w:szCs w:val="24"/>
        </w:rPr>
        <w:t>. 100 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of supernatant was poured in 2.7 mL of phosphate buffer (pH 7.4) and 200 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of 100 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DTNB was added into it. The reaction between GSH and DTNB produced yellow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indicating reduced glutathione. The optical density was measured via spectrophotometer at 412 nm.</w:t>
      </w:r>
    </w:p>
    <w:p w14:paraId="6A6A346F" w14:textId="39980DA2" w:rsidR="00196F9F" w:rsidRPr="00196F9F" w:rsidRDefault="00196F9F" w:rsidP="00196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Determination</w:t>
      </w:r>
      <w:r w:rsidRPr="00196F9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96F9F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Px</w:t>
      </w:r>
      <w:proofErr w:type="spellEnd"/>
    </w:p>
    <w:p w14:paraId="5580BAB7" w14:textId="537C4EEB" w:rsidR="005236BE" w:rsidRPr="00196F9F" w:rsidRDefault="00933B9F" w:rsidP="000C1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9F">
        <w:rPr>
          <w:rFonts w:ascii="Times New Roman" w:hAnsi="Times New Roman" w:cs="Times New Roman"/>
          <w:sz w:val="24"/>
          <w:szCs w:val="24"/>
        </w:rPr>
        <w:t xml:space="preserve">The activity of </w:t>
      </w:r>
      <w:proofErr w:type="spellStart"/>
      <w:r w:rsidR="00196F9F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was determined by the method of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Rotruck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et al. (1973).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convert</w:t>
      </w:r>
      <w:r w:rsidR="00196F9F">
        <w:rPr>
          <w:rFonts w:ascii="Times New Roman" w:hAnsi="Times New Roman" w:cs="Times New Roman"/>
          <w:sz w:val="24"/>
          <w:szCs w:val="24"/>
        </w:rPr>
        <w:t>ed</w:t>
      </w:r>
      <w:r w:rsidRPr="00196F9F">
        <w:rPr>
          <w:rFonts w:ascii="Times New Roman" w:hAnsi="Times New Roman" w:cs="Times New Roman"/>
          <w:sz w:val="24"/>
          <w:szCs w:val="24"/>
        </w:rPr>
        <w:t xml:space="preserve"> reduced glutathione (GSH) into oxidized form using hydrogen peroxide during its reaction. The amount of GSH utilized </w:t>
      </w:r>
      <w:r w:rsidR="00196F9F">
        <w:rPr>
          <w:rFonts w:ascii="Times New Roman" w:hAnsi="Times New Roman" w:cs="Times New Roman"/>
          <w:sz w:val="24"/>
          <w:szCs w:val="24"/>
        </w:rPr>
        <w:t>was</w:t>
      </w:r>
      <w:r w:rsidRPr="00196F9F">
        <w:rPr>
          <w:rFonts w:ascii="Times New Roman" w:hAnsi="Times New Roman" w:cs="Times New Roman"/>
          <w:sz w:val="24"/>
          <w:szCs w:val="24"/>
        </w:rPr>
        <w:t xml:space="preserve"> estimated by measuring it in the assay mixture before and </w:t>
      </w:r>
      <w:r w:rsidRPr="00196F9F">
        <w:rPr>
          <w:rFonts w:ascii="Times New Roman" w:hAnsi="Times New Roman" w:cs="Times New Roman"/>
          <w:sz w:val="24"/>
          <w:szCs w:val="24"/>
        </w:rPr>
        <w:lastRenderedPageBreak/>
        <w:t>after the enzyme activity. GSH react</w:t>
      </w:r>
      <w:r w:rsidR="00196F9F">
        <w:rPr>
          <w:rFonts w:ascii="Times New Roman" w:hAnsi="Times New Roman" w:cs="Times New Roman"/>
          <w:sz w:val="24"/>
          <w:szCs w:val="24"/>
        </w:rPr>
        <w:t>ed</w:t>
      </w:r>
      <w:r w:rsidRPr="00196F9F">
        <w:rPr>
          <w:rFonts w:ascii="Times New Roman" w:hAnsi="Times New Roman" w:cs="Times New Roman"/>
          <w:sz w:val="24"/>
          <w:szCs w:val="24"/>
        </w:rPr>
        <w:t xml:space="preserve"> with DTNB to give a yellow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>, which was then measured at 412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 xml:space="preserve">nm. </w:t>
      </w:r>
    </w:p>
    <w:p w14:paraId="38355D37" w14:textId="7A762780" w:rsidR="00196F9F" w:rsidRPr="00196F9F" w:rsidRDefault="00196F9F" w:rsidP="00196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>Analysis of GSR</w:t>
      </w:r>
    </w:p>
    <w:p w14:paraId="4621E468" w14:textId="068302C7" w:rsidR="00933B9F" w:rsidRPr="00196F9F" w:rsidRDefault="00933B9F" w:rsidP="000C1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9F">
        <w:rPr>
          <w:rFonts w:ascii="Times New Roman" w:hAnsi="Times New Roman" w:cs="Times New Roman"/>
          <w:sz w:val="24"/>
          <w:szCs w:val="24"/>
        </w:rPr>
        <w:t xml:space="preserve">The methodology of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Carlberg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Mannervik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(1975) was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followed to assess</w:t>
      </w:r>
      <w:r w:rsidR="00196F9F" w:rsidRPr="00196F9F">
        <w:rPr>
          <w:rFonts w:ascii="Times New Roman" w:hAnsi="Times New Roman" w:cs="Times New Roman"/>
          <w:sz w:val="24"/>
          <w:szCs w:val="24"/>
        </w:rPr>
        <w:t xml:space="preserve"> level of</w:t>
      </w:r>
      <w:r w:rsidRPr="00196F9F">
        <w:rPr>
          <w:rFonts w:ascii="Times New Roman" w:hAnsi="Times New Roman" w:cs="Times New Roman"/>
          <w:sz w:val="24"/>
          <w:szCs w:val="24"/>
        </w:rPr>
        <w:t xml:space="preserve"> GSR. </w:t>
      </w:r>
      <w:r w:rsidR="00196F9F">
        <w:rPr>
          <w:rFonts w:ascii="Times New Roman" w:hAnsi="Times New Roman" w:cs="Times New Roman"/>
          <w:sz w:val="24"/>
          <w:szCs w:val="24"/>
        </w:rPr>
        <w:t xml:space="preserve">The </w:t>
      </w:r>
      <w:r w:rsidR="00196F9F" w:rsidRPr="00196F9F">
        <w:rPr>
          <w:rFonts w:ascii="Times New Roman" w:hAnsi="Times New Roman" w:cs="Times New Roman"/>
          <w:sz w:val="24"/>
          <w:szCs w:val="24"/>
        </w:rPr>
        <w:t>0.20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="00196F9F" w:rsidRPr="00196F9F">
        <w:rPr>
          <w:rFonts w:ascii="Times New Roman" w:hAnsi="Times New Roman" w:cs="Times New Roman"/>
          <w:sz w:val="24"/>
          <w:szCs w:val="24"/>
        </w:rPr>
        <w:t>m</w:t>
      </w:r>
      <w:r w:rsidR="00196F9F">
        <w:rPr>
          <w:rFonts w:ascii="Times New Roman" w:hAnsi="Times New Roman" w:cs="Times New Roman"/>
          <w:sz w:val="24"/>
          <w:szCs w:val="24"/>
        </w:rPr>
        <w:t>L</w:t>
      </w:r>
      <w:r w:rsidR="00196F9F" w:rsidRPr="00196F9F">
        <w:rPr>
          <w:rFonts w:ascii="Times New Roman" w:hAnsi="Times New Roman" w:cs="Times New Roman"/>
          <w:sz w:val="24"/>
          <w:szCs w:val="24"/>
        </w:rPr>
        <w:t xml:space="preserve"> </w:t>
      </w:r>
      <w:r w:rsidR="00196F9F">
        <w:rPr>
          <w:rFonts w:ascii="Times New Roman" w:hAnsi="Times New Roman" w:cs="Times New Roman"/>
          <w:sz w:val="24"/>
          <w:szCs w:val="24"/>
        </w:rPr>
        <w:t xml:space="preserve">of </w:t>
      </w:r>
      <w:r w:rsidRPr="00196F9F">
        <w:rPr>
          <w:rFonts w:ascii="Times New Roman" w:hAnsi="Times New Roman" w:cs="Times New Roman"/>
          <w:sz w:val="24"/>
          <w:szCs w:val="24"/>
        </w:rPr>
        <w:t xml:space="preserve">samples were </w:t>
      </w:r>
      <w:r w:rsidR="00196F9F">
        <w:rPr>
          <w:rFonts w:ascii="Times New Roman" w:hAnsi="Times New Roman" w:cs="Times New Roman"/>
          <w:sz w:val="24"/>
          <w:szCs w:val="24"/>
        </w:rPr>
        <w:t>added to</w:t>
      </w:r>
      <w:r w:rsidRPr="00196F9F">
        <w:rPr>
          <w:rFonts w:ascii="Times New Roman" w:hAnsi="Times New Roman" w:cs="Times New Roman"/>
          <w:sz w:val="24"/>
          <w:szCs w:val="24"/>
        </w:rPr>
        <w:t xml:space="preserve"> 0.10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m</w:t>
      </w:r>
      <w:r w:rsidR="00196F9F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 EDTA (0.50mM), 1.68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m</w:t>
      </w:r>
      <w:r w:rsidR="00196F9F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 phosphate buffer,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0.04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m</w:t>
      </w:r>
      <w:r w:rsidR="00196F9F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 oxidized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glutathione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(10mM), and 0.10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m</w:t>
      </w:r>
      <w:r w:rsidR="00196F9F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 NADPH (0.10mM). OD was calculated at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340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 xml:space="preserve">nm after mixing. GSR was calculated as </w:t>
      </w:r>
      <w:r w:rsidR="00196F9F" w:rsidRPr="00196F9F">
        <w:rPr>
          <w:rFonts w:ascii="Times New Roman" w:hAnsi="Times New Roman" w:cs="Times New Roman"/>
          <w:sz w:val="24"/>
          <w:szCs w:val="24"/>
        </w:rPr>
        <w:t>Nm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NADPH oxidized/min/mg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protein, using a molar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extinction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coefficient of 8.22</w:t>
      </w:r>
      <w:r w:rsid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× 103 M</w:t>
      </w:r>
      <w:r w:rsidRPr="00196F9F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196F9F">
        <w:rPr>
          <w:rFonts w:ascii="Times New Roman" w:hAnsi="Times New Roman" w:cs="Times New Roman"/>
          <w:sz w:val="24"/>
          <w:szCs w:val="24"/>
        </w:rPr>
        <w:t>.</w:t>
      </w:r>
    </w:p>
    <w:p w14:paraId="212DFFD7" w14:textId="50AE280F" w:rsidR="000C1676" w:rsidRPr="00196F9F" w:rsidRDefault="000C1676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>Analysis of GST</w:t>
      </w:r>
    </w:p>
    <w:p w14:paraId="504AD385" w14:textId="21EFD7EA" w:rsidR="00434507" w:rsidRPr="00196F9F" w:rsidRDefault="000C1676" w:rsidP="000C1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196F9F">
        <w:rPr>
          <w:rFonts w:ascii="Times New Roman" w:hAnsi="Times New Roman" w:cs="Times New Roman"/>
          <w:sz w:val="24"/>
          <w:szCs w:val="24"/>
        </w:rPr>
        <w:t xml:space="preserve">GST was determined by the protocol of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Habig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et al. (1974). 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The </w:t>
      </w:r>
      <w:r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>reaction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mixture was made using 1.475 m</w:t>
      </w:r>
      <w:r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L 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>phosphate buffer (0.1 M, pH 6.5), 0.2 ml reduced glutathione (1 mM), 0.025 m</w:t>
      </w:r>
      <w:r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L 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>1-chloro-2,4-dinitrobenzene (CDNB, 1 mM) and 0.3 m</w:t>
      </w:r>
      <w:r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>L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of liver </w:t>
      </w:r>
      <w:r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>homogenate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Change in the absorbance was recorded at 340 nm and enzyme activity was calculated as </w:t>
      </w:r>
      <w:proofErr w:type="spellStart"/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>nM</w:t>
      </w:r>
      <w:proofErr w:type="spellEnd"/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CDNB conjugate formed/min/mg protein using a molar extinction coefficient of 9.6 × 10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  <w:vertAlign w:val="superscript"/>
        </w:rPr>
        <w:t>3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>M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  <w:vertAlign w:val="superscript"/>
        </w:rPr>
        <w:t>-1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</w:rPr>
        <w:t>cm</w:t>
      </w:r>
      <w:r w:rsidR="00434507" w:rsidRPr="00196F9F">
        <w:rPr>
          <w:rFonts w:ascii="Times New Roman" w:hAnsi="Times New Roman" w:cs="Times New Roman"/>
          <w:sz w:val="24"/>
          <w:szCs w:val="24"/>
          <w:shd w:val="clear" w:color="auto" w:fill="FCFCFC"/>
          <w:vertAlign w:val="superscript"/>
        </w:rPr>
        <w:t>-1</w:t>
      </w:r>
      <w:r w:rsidR="002D6F61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4691BDB5" w14:textId="64BA64D7" w:rsidR="00B12322" w:rsidRPr="00196F9F" w:rsidRDefault="00B12322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>Estimation of MDA</w:t>
      </w:r>
    </w:p>
    <w:p w14:paraId="4F7E16A6" w14:textId="0773B487" w:rsidR="00434507" w:rsidRPr="00196F9F" w:rsidRDefault="00933B9F" w:rsidP="000C1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9F">
        <w:rPr>
          <w:rFonts w:ascii="Times New Roman" w:hAnsi="Times New Roman" w:cs="Times New Roman"/>
          <w:sz w:val="24"/>
          <w:szCs w:val="24"/>
        </w:rPr>
        <w:t xml:space="preserve">Lipid peroxidation was </w:t>
      </w:r>
      <w:r w:rsidR="00B12322" w:rsidRPr="00196F9F">
        <w:rPr>
          <w:rFonts w:ascii="Times New Roman" w:hAnsi="Times New Roman" w:cs="Times New Roman"/>
          <w:sz w:val="24"/>
          <w:szCs w:val="24"/>
        </w:rPr>
        <w:t>estimate</w:t>
      </w:r>
      <w:r w:rsidRPr="00196F9F">
        <w:rPr>
          <w:rFonts w:ascii="Times New Roman" w:hAnsi="Times New Roman" w:cs="Times New Roman"/>
          <w:sz w:val="24"/>
          <w:szCs w:val="24"/>
        </w:rPr>
        <w:t xml:space="preserve">d by measuring the concentration of </w:t>
      </w:r>
      <w:r w:rsidR="00B12322" w:rsidRPr="00196F9F">
        <w:rPr>
          <w:rFonts w:ascii="Times New Roman" w:hAnsi="Times New Roman" w:cs="Times New Roman"/>
          <w:sz w:val="24"/>
          <w:szCs w:val="24"/>
        </w:rPr>
        <w:t>MDA</w:t>
      </w:r>
      <w:r w:rsidRPr="00196F9F">
        <w:rPr>
          <w:rFonts w:ascii="Times New Roman" w:hAnsi="Times New Roman" w:cs="Times New Roman"/>
          <w:sz w:val="24"/>
          <w:szCs w:val="24"/>
        </w:rPr>
        <w:t xml:space="preserve"> in the liver homogenates </w:t>
      </w:r>
      <w:r w:rsidR="00B12322" w:rsidRPr="00196F9F">
        <w:rPr>
          <w:rFonts w:ascii="Times New Roman" w:hAnsi="Times New Roman" w:cs="Times New Roman"/>
          <w:sz w:val="24"/>
          <w:szCs w:val="24"/>
        </w:rPr>
        <w:t>as per</w:t>
      </w:r>
      <w:r w:rsidRPr="00196F9F">
        <w:rPr>
          <w:rFonts w:ascii="Times New Roman" w:hAnsi="Times New Roman" w:cs="Times New Roman"/>
          <w:sz w:val="24"/>
          <w:szCs w:val="24"/>
        </w:rPr>
        <w:t xml:space="preserve"> the method of 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Ohkawa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et al. (1979). Liver homogenates were mixed with 0.2 m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L </w:t>
      </w:r>
      <w:r w:rsidRPr="00196F9F">
        <w:rPr>
          <w:rFonts w:ascii="Times New Roman" w:hAnsi="Times New Roman" w:cs="Times New Roman"/>
          <w:sz w:val="24"/>
          <w:szCs w:val="24"/>
        </w:rPr>
        <w:t>of 8.1% sodium dodecyl sulphate, 1.5 m</w:t>
      </w:r>
      <w:r w:rsidR="002D6F61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 20% acetic acid (pH adjusted to 3.5 with NaOH), and 1.5 m</w:t>
      </w:r>
      <w:r w:rsidR="002D6F61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 a 0.8% aqueous solution of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thiobarbituric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acid. The volume of the solution was made up to 4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m</w:t>
      </w:r>
      <w:r w:rsidR="000C1676" w:rsidRPr="00196F9F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with distilled water and heated for </w:t>
      </w:r>
      <w:r w:rsidR="000C1676" w:rsidRPr="00196F9F">
        <w:rPr>
          <w:rFonts w:ascii="Times New Roman" w:hAnsi="Times New Roman" w:cs="Times New Roman"/>
          <w:sz w:val="24"/>
          <w:szCs w:val="24"/>
        </w:rPr>
        <w:t>1 hour</w:t>
      </w:r>
      <w:r w:rsidRPr="00196F9F">
        <w:rPr>
          <w:rFonts w:ascii="Times New Roman" w:hAnsi="Times New Roman" w:cs="Times New Roman"/>
          <w:sz w:val="24"/>
          <w:szCs w:val="24"/>
        </w:rPr>
        <w:t xml:space="preserve"> at 95 °C. After cooling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, </w:t>
      </w:r>
      <w:r w:rsidRPr="00196F9F">
        <w:rPr>
          <w:rFonts w:ascii="Times New Roman" w:hAnsi="Times New Roman" w:cs="Times New Roman"/>
          <w:sz w:val="24"/>
          <w:szCs w:val="24"/>
        </w:rPr>
        <w:t>1 m</w:t>
      </w:r>
      <w:r w:rsidR="000C1676" w:rsidRPr="00196F9F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 distilled water and 5 m</w:t>
      </w:r>
      <w:r w:rsidR="000C1676" w:rsidRPr="00196F9F">
        <w:rPr>
          <w:rFonts w:ascii="Times New Roman" w:hAnsi="Times New Roman" w:cs="Times New Roman"/>
          <w:sz w:val="24"/>
          <w:szCs w:val="24"/>
        </w:rPr>
        <w:t>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 a mixture of </w:t>
      </w:r>
      <w:r w:rsidRPr="00196F9F">
        <w:rPr>
          <w:rStyle w:val="Emphasis"/>
          <w:rFonts w:ascii="Times New Roman" w:hAnsi="Times New Roman" w:cs="Times New Roman"/>
          <w:sz w:val="24"/>
          <w:szCs w:val="24"/>
        </w:rPr>
        <w:t>n</w:t>
      </w:r>
      <w:r w:rsidRPr="00196F9F">
        <w:rPr>
          <w:rFonts w:ascii="Times New Roman" w:hAnsi="Times New Roman" w:cs="Times New Roman"/>
          <w:sz w:val="24"/>
          <w:szCs w:val="24"/>
        </w:rPr>
        <w:t xml:space="preserve">-butanol and pyridine (15:1, v/v) were added before shaking the samples vigorously. After centrifugation 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at </w:t>
      </w:r>
      <w:r w:rsidRPr="00196F9F">
        <w:rPr>
          <w:rFonts w:ascii="Times New Roman" w:hAnsi="Times New Roman" w:cs="Times New Roman"/>
          <w:sz w:val="24"/>
          <w:szCs w:val="24"/>
        </w:rPr>
        <w:t>3500×</w:t>
      </w:r>
      <w:r w:rsidRPr="00196F9F">
        <w:rPr>
          <w:rStyle w:val="Emphasis"/>
          <w:rFonts w:ascii="Times New Roman" w:hAnsi="Times New Roman" w:cs="Times New Roman"/>
          <w:sz w:val="24"/>
          <w:szCs w:val="24"/>
        </w:rPr>
        <w:t>g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 for</w:t>
      </w:r>
      <w:r w:rsidRPr="00196F9F">
        <w:rPr>
          <w:rFonts w:ascii="Times New Roman" w:hAnsi="Times New Roman" w:cs="Times New Roman"/>
          <w:sz w:val="24"/>
          <w:szCs w:val="24"/>
        </w:rPr>
        <w:t xml:space="preserve"> 10 min), absorbance was measured with a spectrophotometer </w:t>
      </w:r>
      <w:r w:rsidR="000C1676" w:rsidRPr="00196F9F">
        <w:rPr>
          <w:rFonts w:ascii="Times New Roman" w:hAnsi="Times New Roman" w:cs="Times New Roman"/>
          <w:sz w:val="24"/>
          <w:szCs w:val="24"/>
        </w:rPr>
        <w:t xml:space="preserve">at 532 nm. </w:t>
      </w:r>
      <w:r w:rsidRPr="00196F9F">
        <w:rPr>
          <w:rFonts w:ascii="Times New Roman" w:hAnsi="Times New Roman" w:cs="Times New Roman"/>
          <w:sz w:val="24"/>
          <w:szCs w:val="24"/>
        </w:rPr>
        <w:t xml:space="preserve">Lipid peroxidation was calculated from the standard curve using the malondialdehyde tetrabutylammonium salt and expressed as concentration of nmol </w:t>
      </w:r>
      <w:r w:rsidR="002D6F61">
        <w:rPr>
          <w:rFonts w:ascii="Times New Roman" w:hAnsi="Times New Roman" w:cs="Times New Roman"/>
          <w:sz w:val="24"/>
          <w:szCs w:val="24"/>
        </w:rPr>
        <w:t>MDA</w:t>
      </w:r>
      <w:r w:rsidRPr="00196F9F">
        <w:rPr>
          <w:rFonts w:ascii="Times New Roman" w:hAnsi="Times New Roman" w:cs="Times New Roman"/>
          <w:sz w:val="24"/>
          <w:szCs w:val="24"/>
        </w:rPr>
        <w:t xml:space="preserve"> per g of protein.</w:t>
      </w:r>
    </w:p>
    <w:p w14:paraId="2824E312" w14:textId="55B96B5E" w:rsidR="00AC4253" w:rsidRPr="00196F9F" w:rsidRDefault="00AC4253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>Analysis of ROS</w:t>
      </w:r>
    </w:p>
    <w:p w14:paraId="38B54219" w14:textId="7307CEC2" w:rsidR="00D051BF" w:rsidRPr="00196F9F" w:rsidRDefault="00AC4253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9F">
        <w:rPr>
          <w:rFonts w:ascii="Times New Roman" w:hAnsi="Times New Roman" w:cs="Times New Roman"/>
          <w:sz w:val="24"/>
          <w:szCs w:val="24"/>
        </w:rPr>
        <w:t xml:space="preserve">ROS were assessed from homogenate </w:t>
      </w:r>
      <w:r w:rsidR="00B12322" w:rsidRPr="00196F9F">
        <w:rPr>
          <w:rFonts w:ascii="Times New Roman" w:hAnsi="Times New Roman" w:cs="Times New Roman"/>
          <w:sz w:val="24"/>
          <w:szCs w:val="24"/>
        </w:rPr>
        <w:t>by following</w:t>
      </w:r>
      <w:r w:rsidRPr="00196F9F">
        <w:rPr>
          <w:rFonts w:ascii="Times New Roman" w:hAnsi="Times New Roman" w:cs="Times New Roman"/>
          <w:sz w:val="24"/>
          <w:szCs w:val="24"/>
        </w:rPr>
        <w:t xml:space="preserve"> the process explained by Hayashi et al.</w:t>
      </w:r>
      <w:r w:rsidR="00B12322" w:rsidRPr="00196F9F">
        <w:rPr>
          <w:rFonts w:ascii="Times New Roman" w:hAnsi="Times New Roman" w:cs="Times New Roman"/>
          <w:sz w:val="24"/>
          <w:szCs w:val="24"/>
        </w:rPr>
        <w:t xml:space="preserve"> (2007). </w:t>
      </w:r>
      <w:r w:rsidRPr="00196F9F">
        <w:rPr>
          <w:rFonts w:ascii="Times New Roman" w:hAnsi="Times New Roman" w:cs="Times New Roman"/>
          <w:sz w:val="24"/>
          <w:szCs w:val="24"/>
        </w:rPr>
        <w:t>5</w:t>
      </w:r>
      <w:r w:rsidR="00B12322" w:rsidRPr="00196F9F">
        <w:rPr>
          <w:rFonts w:ascii="Times New Roman" w:hAnsi="Times New Roman" w:cs="Times New Roman"/>
          <w:sz w:val="24"/>
          <w:szCs w:val="24"/>
        </w:rPr>
        <w:t xml:space="preserve"> mL of homogenate </w:t>
      </w:r>
      <w:r w:rsidRPr="00196F9F">
        <w:rPr>
          <w:rFonts w:ascii="Times New Roman" w:hAnsi="Times New Roman" w:cs="Times New Roman"/>
          <w:sz w:val="24"/>
          <w:szCs w:val="24"/>
        </w:rPr>
        <w:t xml:space="preserve">and </w:t>
      </w:r>
      <w:r w:rsidR="00B12322" w:rsidRPr="00196F9F">
        <w:rPr>
          <w:rFonts w:ascii="Times New Roman" w:hAnsi="Times New Roman" w:cs="Times New Roman"/>
          <w:sz w:val="24"/>
          <w:szCs w:val="24"/>
        </w:rPr>
        <w:t>140 mL (</w:t>
      </w:r>
      <w:r w:rsidRPr="00196F9F">
        <w:rPr>
          <w:rFonts w:ascii="Times New Roman" w:hAnsi="Times New Roman" w:cs="Times New Roman"/>
          <w:sz w:val="24"/>
          <w:szCs w:val="24"/>
        </w:rPr>
        <w:t>0.1 M</w:t>
      </w:r>
      <w:r w:rsidR="00B12322" w:rsidRPr="00196F9F">
        <w:rPr>
          <w:rFonts w:ascii="Times New Roman" w:hAnsi="Times New Roman" w:cs="Times New Roman"/>
          <w:sz w:val="24"/>
          <w:szCs w:val="24"/>
        </w:rPr>
        <w:t>)</w:t>
      </w:r>
      <w:r w:rsidRPr="00196F9F">
        <w:rPr>
          <w:rFonts w:ascii="Times New Roman" w:hAnsi="Times New Roman" w:cs="Times New Roman"/>
          <w:sz w:val="24"/>
          <w:szCs w:val="24"/>
        </w:rPr>
        <w:t xml:space="preserve"> </w:t>
      </w:r>
      <w:r w:rsidR="00B12322" w:rsidRPr="00196F9F">
        <w:rPr>
          <w:rFonts w:ascii="Times New Roman" w:hAnsi="Times New Roman" w:cs="Times New Roman"/>
          <w:sz w:val="24"/>
          <w:szCs w:val="24"/>
        </w:rPr>
        <w:t xml:space="preserve">of </w:t>
      </w:r>
      <w:r w:rsidRPr="00196F9F">
        <w:rPr>
          <w:rFonts w:ascii="Times New Roman" w:hAnsi="Times New Roman" w:cs="Times New Roman"/>
          <w:sz w:val="24"/>
          <w:szCs w:val="24"/>
        </w:rPr>
        <w:t>sodium acetate buffer with pH 4.8 were mixed and dispensed in 96</w:t>
      </w:r>
      <w:r w:rsidR="00B12322" w:rsidRPr="00196F9F">
        <w:rPr>
          <w:rFonts w:ascii="Times New Roman" w:hAnsi="Times New Roman" w:cs="Times New Roman"/>
          <w:sz w:val="24"/>
          <w:szCs w:val="24"/>
        </w:rPr>
        <w:t>-</w:t>
      </w:r>
      <w:r w:rsidRPr="00196F9F">
        <w:rPr>
          <w:rFonts w:ascii="Times New Roman" w:hAnsi="Times New Roman" w:cs="Times New Roman"/>
          <w:sz w:val="24"/>
          <w:szCs w:val="24"/>
        </w:rPr>
        <w:t>well</w:t>
      </w:r>
      <w:r w:rsidR="00B12322" w:rsidRPr="00196F9F">
        <w:rPr>
          <w:rFonts w:ascii="Times New Roman" w:hAnsi="Times New Roman" w:cs="Times New Roman"/>
          <w:sz w:val="24"/>
          <w:szCs w:val="24"/>
        </w:rPr>
        <w:t xml:space="preserve"> micro</w:t>
      </w:r>
      <w:r w:rsidRPr="00196F9F">
        <w:rPr>
          <w:rFonts w:ascii="Times New Roman" w:hAnsi="Times New Roman" w:cs="Times New Roman"/>
          <w:sz w:val="24"/>
          <w:szCs w:val="24"/>
        </w:rPr>
        <w:t>plate. After incubating at 37</w:t>
      </w:r>
      <w:r w:rsidR="00B12322" w:rsidRPr="00196F9F">
        <w:rPr>
          <w:rFonts w:ascii="Times New Roman" w:hAnsi="Times New Roman" w:cs="Times New Roman"/>
          <w:sz w:val="24"/>
          <w:szCs w:val="24"/>
        </w:rPr>
        <w:t>°</w:t>
      </w:r>
      <w:r w:rsidRPr="00196F9F">
        <w:rPr>
          <w:rFonts w:ascii="Times New Roman" w:hAnsi="Times New Roman" w:cs="Times New Roman"/>
          <w:sz w:val="24"/>
          <w:szCs w:val="24"/>
        </w:rPr>
        <w:t xml:space="preserve">C for 5 min, 100mL of solution of ferrous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and N, N-diethyl-para-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phenylenediamine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was </w:t>
      </w:r>
      <w:r w:rsidR="00B12322" w:rsidRPr="00196F9F">
        <w:rPr>
          <w:rFonts w:ascii="Times New Roman" w:hAnsi="Times New Roman" w:cs="Times New Roman"/>
          <w:sz w:val="24"/>
          <w:szCs w:val="24"/>
        </w:rPr>
        <w:t>added</w:t>
      </w:r>
      <w:r w:rsidRPr="00196F9F">
        <w:rPr>
          <w:rFonts w:ascii="Times New Roman" w:hAnsi="Times New Roman" w:cs="Times New Roman"/>
          <w:sz w:val="24"/>
          <w:szCs w:val="24"/>
        </w:rPr>
        <w:t xml:space="preserve"> to each </w:t>
      </w:r>
      <w:r w:rsidR="00B12322" w:rsidRPr="00196F9F">
        <w:rPr>
          <w:rFonts w:ascii="Times New Roman" w:hAnsi="Times New Roman" w:cs="Times New Roman"/>
          <w:sz w:val="24"/>
          <w:szCs w:val="24"/>
        </w:rPr>
        <w:t>well</w:t>
      </w:r>
      <w:r w:rsidRPr="00196F9F">
        <w:rPr>
          <w:rFonts w:ascii="Times New Roman" w:hAnsi="Times New Roman" w:cs="Times New Roman"/>
          <w:sz w:val="24"/>
          <w:szCs w:val="24"/>
        </w:rPr>
        <w:t>, and then incubated at 37</w:t>
      </w:r>
      <w:r w:rsidR="00B12322" w:rsidRPr="00196F9F">
        <w:rPr>
          <w:rFonts w:ascii="Times New Roman" w:hAnsi="Times New Roman" w:cs="Times New Roman"/>
          <w:sz w:val="24"/>
          <w:szCs w:val="24"/>
        </w:rPr>
        <w:t>°</w:t>
      </w:r>
      <w:r w:rsidRPr="00196F9F">
        <w:rPr>
          <w:rFonts w:ascii="Times New Roman" w:hAnsi="Times New Roman" w:cs="Times New Roman"/>
          <w:sz w:val="24"/>
          <w:szCs w:val="24"/>
        </w:rPr>
        <w:t xml:space="preserve">C for 1 minute. At 505 nm, the absorbance was noticed with the help </w:t>
      </w:r>
      <w:r w:rsidRPr="00196F9F">
        <w:rPr>
          <w:rFonts w:ascii="Times New Roman" w:hAnsi="Times New Roman" w:cs="Times New Roman"/>
          <w:sz w:val="24"/>
          <w:szCs w:val="24"/>
        </w:rPr>
        <w:lastRenderedPageBreak/>
        <w:t>of a microplate reader for 180 s</w:t>
      </w:r>
      <w:r w:rsidR="00B12322" w:rsidRPr="00196F9F">
        <w:rPr>
          <w:rFonts w:ascii="Times New Roman" w:hAnsi="Times New Roman" w:cs="Times New Roman"/>
          <w:sz w:val="24"/>
          <w:szCs w:val="24"/>
        </w:rPr>
        <w:t>econds</w:t>
      </w:r>
      <w:r w:rsidRPr="00196F9F">
        <w:rPr>
          <w:rFonts w:ascii="Times New Roman" w:hAnsi="Times New Roman" w:cs="Times New Roman"/>
          <w:sz w:val="24"/>
          <w:szCs w:val="24"/>
        </w:rPr>
        <w:t xml:space="preserve"> with a 15 s</w:t>
      </w:r>
      <w:r w:rsidR="00B12322" w:rsidRPr="00196F9F">
        <w:rPr>
          <w:rFonts w:ascii="Times New Roman" w:hAnsi="Times New Roman" w:cs="Times New Roman"/>
          <w:sz w:val="24"/>
          <w:szCs w:val="24"/>
        </w:rPr>
        <w:t>econd</w:t>
      </w:r>
      <w:r w:rsidRPr="00196F9F">
        <w:rPr>
          <w:rFonts w:ascii="Times New Roman" w:hAnsi="Times New Roman" w:cs="Times New Roman"/>
          <w:sz w:val="24"/>
          <w:szCs w:val="24"/>
        </w:rPr>
        <w:t xml:space="preserve"> interval. Finally, the standard curve was plotted.</w:t>
      </w:r>
    </w:p>
    <w:p w14:paraId="062B7D5D" w14:textId="77777777" w:rsidR="00BB3D04" w:rsidRPr="00196F9F" w:rsidRDefault="00BB3D04" w:rsidP="000C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9F">
        <w:rPr>
          <w:rFonts w:ascii="Times New Roman" w:hAnsi="Times New Roman" w:cs="Times New Roman"/>
          <w:b/>
          <w:bCs/>
          <w:sz w:val="24"/>
          <w:szCs w:val="24"/>
        </w:rPr>
        <w:t xml:space="preserve">Determination of inflammatory markers </w:t>
      </w:r>
    </w:p>
    <w:p w14:paraId="5E27AE73" w14:textId="36E9D417" w:rsidR="00BB3D04" w:rsidRDefault="00E96FDE" w:rsidP="000C1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9F">
        <w:rPr>
          <w:rFonts w:ascii="Times New Roman" w:hAnsi="Times New Roman" w:cs="Times New Roman"/>
          <w:sz w:val="24"/>
          <w:szCs w:val="24"/>
        </w:rPr>
        <w:t>Level of NF-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kΒ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(</w:t>
      </w:r>
      <w:r w:rsidRPr="00196F9F">
        <w:rPr>
          <w:rFonts w:ascii="Times New Roman" w:eastAsia="Microsoft YaHei" w:hAnsi="Times New Roman" w:cs="Times New Roman"/>
          <w:sz w:val="24"/>
          <w:szCs w:val="24"/>
        </w:rPr>
        <w:t>CSB-E13148r</w:t>
      </w:r>
      <w:r w:rsidRPr="00196F9F">
        <w:rPr>
          <w:rFonts w:ascii="Times New Roman" w:hAnsi="Times New Roman" w:cs="Times New Roman"/>
          <w:sz w:val="24"/>
          <w:szCs w:val="24"/>
        </w:rPr>
        <w:t>), TNF-α (</w:t>
      </w:r>
      <w:r w:rsidRPr="00196F9F">
        <w:rPr>
          <w:rFonts w:ascii="Times New Roman" w:eastAsia="Microsoft YaHei" w:hAnsi="Times New Roman" w:cs="Times New Roman"/>
          <w:sz w:val="24"/>
          <w:szCs w:val="24"/>
        </w:rPr>
        <w:t>CSB-E07379r</w:t>
      </w:r>
      <w:r w:rsidRPr="00196F9F">
        <w:rPr>
          <w:rFonts w:ascii="Times New Roman" w:hAnsi="Times New Roman" w:cs="Times New Roman"/>
          <w:sz w:val="24"/>
          <w:szCs w:val="24"/>
        </w:rPr>
        <w:t>), IL-1β (</w:t>
      </w:r>
      <w:r w:rsidRPr="00196F9F">
        <w:rPr>
          <w:rFonts w:ascii="Times New Roman" w:eastAsia="Microsoft YaHei" w:hAnsi="Times New Roman" w:cs="Times New Roman"/>
          <w:sz w:val="24"/>
          <w:szCs w:val="24"/>
          <w:lang w:eastAsia="en-GB"/>
        </w:rPr>
        <w:t>CSB-E08055r</w:t>
      </w:r>
      <w:r w:rsidRPr="00196F9F">
        <w:rPr>
          <w:rFonts w:ascii="Times New Roman" w:hAnsi="Times New Roman" w:cs="Times New Roman"/>
          <w:sz w:val="24"/>
          <w:szCs w:val="24"/>
        </w:rPr>
        <w:t>) and IL-6 (</w:t>
      </w:r>
      <w:r w:rsidRPr="00196F9F">
        <w:rPr>
          <w:rFonts w:ascii="Times New Roman" w:eastAsia="Microsoft YaHei" w:hAnsi="Times New Roman" w:cs="Times New Roman"/>
          <w:sz w:val="24"/>
          <w:szCs w:val="24"/>
        </w:rPr>
        <w:t>CSB-E04640r</w:t>
      </w:r>
      <w:r w:rsidRPr="00196F9F">
        <w:rPr>
          <w:rFonts w:ascii="Times New Roman" w:hAnsi="Times New Roman" w:cs="Times New Roman"/>
          <w:sz w:val="24"/>
          <w:szCs w:val="24"/>
        </w:rPr>
        <w:t>) in addition to activity of COX-2 (</w:t>
      </w:r>
      <w:r w:rsidRPr="00196F9F">
        <w:rPr>
          <w:rFonts w:ascii="Times New Roman" w:eastAsia="Microsoft YaHei" w:hAnsi="Times New Roman" w:cs="Times New Roman"/>
          <w:sz w:val="24"/>
          <w:szCs w:val="24"/>
        </w:rPr>
        <w:t xml:space="preserve">CSB-E13399r) </w:t>
      </w:r>
      <w:r w:rsidRPr="00196F9F">
        <w:rPr>
          <w:rFonts w:ascii="Times New Roman" w:hAnsi="Times New Roman" w:cs="Times New Roman"/>
          <w:sz w:val="24"/>
          <w:szCs w:val="24"/>
        </w:rPr>
        <w:t xml:space="preserve">were determined by ELISA kits </w:t>
      </w:r>
      <w:r w:rsidRPr="00196F9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Cusabio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Technology </w:t>
      </w:r>
      <w:proofErr w:type="spellStart"/>
      <w:r w:rsidRPr="00196F9F">
        <w:rPr>
          <w:rFonts w:ascii="Times New Roman" w:hAnsi="Times New Roman" w:cs="Times New Roman"/>
          <w:sz w:val="24"/>
          <w:szCs w:val="24"/>
        </w:rPr>
        <w:t>Llc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>, Houston, TX, USA</w:t>
      </w:r>
      <w:r w:rsidRPr="00196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96F9F">
        <w:rPr>
          <w:rFonts w:ascii="Times New Roman" w:hAnsi="Times New Roman" w:cs="Times New Roman"/>
          <w:sz w:val="24"/>
          <w:szCs w:val="24"/>
        </w:rPr>
        <w:t xml:space="preserve">and the instructor’s guide was followed. Firstly, 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50 mL of sample was </w:t>
      </w:r>
      <w:r w:rsidRPr="00196F9F">
        <w:rPr>
          <w:rFonts w:ascii="Times New Roman" w:hAnsi="Times New Roman" w:cs="Times New Roman"/>
          <w:sz w:val="24"/>
          <w:szCs w:val="24"/>
        </w:rPr>
        <w:t xml:space="preserve">dispensed 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to </w:t>
      </w:r>
      <w:r w:rsidRPr="00196F9F">
        <w:rPr>
          <w:rFonts w:ascii="Times New Roman" w:hAnsi="Times New Roman" w:cs="Times New Roman"/>
          <w:sz w:val="24"/>
          <w:szCs w:val="24"/>
        </w:rPr>
        <w:t>the microplate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wells. </w:t>
      </w:r>
      <w:r w:rsidRPr="00196F9F">
        <w:rPr>
          <w:rFonts w:ascii="Times New Roman" w:hAnsi="Times New Roman" w:cs="Times New Roman"/>
          <w:sz w:val="24"/>
          <w:szCs w:val="24"/>
        </w:rPr>
        <w:t>After that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, 50 mL of antibody cocktail was </w:t>
      </w:r>
      <w:r w:rsidRPr="00196F9F">
        <w:rPr>
          <w:rFonts w:ascii="Times New Roman" w:hAnsi="Times New Roman" w:cs="Times New Roman"/>
          <w:sz w:val="24"/>
          <w:szCs w:val="24"/>
        </w:rPr>
        <w:t>poured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to the wells. </w:t>
      </w:r>
      <w:r w:rsidRPr="00196F9F">
        <w:rPr>
          <w:rFonts w:ascii="Times New Roman" w:hAnsi="Times New Roman" w:cs="Times New Roman"/>
          <w:sz w:val="24"/>
          <w:szCs w:val="24"/>
        </w:rPr>
        <w:t>Plates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were incubated at room temperature for </w:t>
      </w:r>
      <w:r w:rsidRPr="00196F9F">
        <w:rPr>
          <w:rFonts w:ascii="Times New Roman" w:hAnsi="Times New Roman" w:cs="Times New Roman"/>
          <w:sz w:val="24"/>
          <w:szCs w:val="24"/>
        </w:rPr>
        <w:t xml:space="preserve">the duration of 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1 hour. After washing </w:t>
      </w:r>
      <w:r w:rsidRPr="00196F9F">
        <w:rPr>
          <w:rFonts w:ascii="Times New Roman" w:hAnsi="Times New Roman" w:cs="Times New Roman"/>
          <w:sz w:val="24"/>
          <w:szCs w:val="24"/>
        </w:rPr>
        <w:t xml:space="preserve">properly 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with </w:t>
      </w:r>
      <w:r w:rsidRPr="00196F9F">
        <w:rPr>
          <w:rFonts w:ascii="Times New Roman" w:hAnsi="Times New Roman" w:cs="Times New Roman"/>
          <w:sz w:val="24"/>
          <w:szCs w:val="24"/>
        </w:rPr>
        <w:t xml:space="preserve">the help of </w:t>
      </w:r>
      <w:r w:rsidR="00BB3D04" w:rsidRPr="00196F9F">
        <w:rPr>
          <w:rFonts w:ascii="Times New Roman" w:hAnsi="Times New Roman" w:cs="Times New Roman"/>
          <w:sz w:val="24"/>
          <w:szCs w:val="24"/>
        </w:rPr>
        <w:t>wash buffer</w:t>
      </w:r>
      <w:r w:rsidRPr="00196F9F">
        <w:rPr>
          <w:rFonts w:ascii="Times New Roman" w:hAnsi="Times New Roman" w:cs="Times New Roman"/>
          <w:sz w:val="24"/>
          <w:szCs w:val="24"/>
        </w:rPr>
        <w:t>,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100 mL of TMB substrates were </w:t>
      </w:r>
      <w:r w:rsidRPr="00196F9F">
        <w:rPr>
          <w:rFonts w:ascii="Times New Roman" w:hAnsi="Times New Roman" w:cs="Times New Roman"/>
          <w:sz w:val="24"/>
          <w:szCs w:val="24"/>
        </w:rPr>
        <w:t>dispensed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to each well and incubated for </w:t>
      </w:r>
      <w:r w:rsidRPr="00196F9F">
        <w:rPr>
          <w:rFonts w:ascii="Times New Roman" w:hAnsi="Times New Roman" w:cs="Times New Roman"/>
          <w:sz w:val="24"/>
          <w:szCs w:val="24"/>
        </w:rPr>
        <w:t xml:space="preserve">about </w:t>
      </w:r>
      <w:r w:rsidR="00BB3D04" w:rsidRPr="00196F9F">
        <w:rPr>
          <w:rFonts w:ascii="Times New Roman" w:hAnsi="Times New Roman" w:cs="Times New Roman"/>
          <w:sz w:val="24"/>
          <w:szCs w:val="24"/>
        </w:rPr>
        <w:t>10 minutes. After the addition of 100 mL</w:t>
      </w:r>
      <w:r w:rsidRPr="00196F9F">
        <w:rPr>
          <w:rFonts w:ascii="Times New Roman" w:hAnsi="Times New Roman" w:cs="Times New Roman"/>
          <w:sz w:val="24"/>
          <w:szCs w:val="24"/>
        </w:rPr>
        <w:t xml:space="preserve"> of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stop solution</w:t>
      </w:r>
      <w:r w:rsidRPr="00196F9F">
        <w:rPr>
          <w:rFonts w:ascii="Times New Roman" w:hAnsi="Times New Roman" w:cs="Times New Roman"/>
          <w:sz w:val="24"/>
          <w:szCs w:val="24"/>
        </w:rPr>
        <w:t>,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B3D04" w:rsidRPr="00196F9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96F9F">
        <w:rPr>
          <w:rFonts w:ascii="Times New Roman" w:hAnsi="Times New Roman" w:cs="Times New Roman"/>
          <w:sz w:val="24"/>
          <w:szCs w:val="24"/>
        </w:rPr>
        <w:t xml:space="preserve"> was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developed</w:t>
      </w:r>
      <w:r w:rsidRPr="00196F9F">
        <w:rPr>
          <w:rFonts w:ascii="Times New Roman" w:hAnsi="Times New Roman" w:cs="Times New Roman"/>
          <w:sz w:val="24"/>
          <w:szCs w:val="24"/>
        </w:rPr>
        <w:t xml:space="preserve">. 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</w:t>
      </w:r>
      <w:r w:rsidRPr="00196F9F">
        <w:rPr>
          <w:rFonts w:ascii="Times New Roman" w:hAnsi="Times New Roman" w:cs="Times New Roman"/>
          <w:sz w:val="24"/>
          <w:szCs w:val="24"/>
        </w:rPr>
        <w:t>The optical density was noted</w:t>
      </w:r>
      <w:r w:rsidR="00BB3D04" w:rsidRPr="00196F9F">
        <w:rPr>
          <w:rFonts w:ascii="Times New Roman" w:hAnsi="Times New Roman" w:cs="Times New Roman"/>
          <w:sz w:val="24"/>
          <w:szCs w:val="24"/>
        </w:rPr>
        <w:t xml:space="preserve"> at 450 nm using Tecan Multimode Reader.</w:t>
      </w:r>
    </w:p>
    <w:p w14:paraId="437A3778" w14:textId="670E79A9" w:rsidR="00B22FCB" w:rsidRDefault="00B22FCB" w:rsidP="000C1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B18FA" w14:textId="77777777" w:rsidR="00B22FCB" w:rsidRPr="00B22FCB" w:rsidRDefault="00B22FCB" w:rsidP="000C16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2FCB" w:rsidRPr="00B2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53"/>
    <w:rsid w:val="00026764"/>
    <w:rsid w:val="000C1676"/>
    <w:rsid w:val="00132ACE"/>
    <w:rsid w:val="00196F9F"/>
    <w:rsid w:val="002D6F61"/>
    <w:rsid w:val="00434507"/>
    <w:rsid w:val="005236BE"/>
    <w:rsid w:val="006D1B91"/>
    <w:rsid w:val="00830797"/>
    <w:rsid w:val="00933B9F"/>
    <w:rsid w:val="00AC4253"/>
    <w:rsid w:val="00AD46D0"/>
    <w:rsid w:val="00B12322"/>
    <w:rsid w:val="00B22FCB"/>
    <w:rsid w:val="00BB3D04"/>
    <w:rsid w:val="00C75A6E"/>
    <w:rsid w:val="00D051BF"/>
    <w:rsid w:val="00E96FDE"/>
    <w:rsid w:val="00F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0698"/>
  <w15:docId w15:val="{CEFDF281-32C5-4A39-935B-40A8670E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50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3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Arfa Tahir</dc:creator>
  <cp:keywords/>
  <dc:description/>
  <cp:lastModifiedBy>tayyaba</cp:lastModifiedBy>
  <cp:revision>3</cp:revision>
  <dcterms:created xsi:type="dcterms:W3CDTF">2022-03-21T12:12:00Z</dcterms:created>
  <dcterms:modified xsi:type="dcterms:W3CDTF">2022-03-21T14:46:00Z</dcterms:modified>
</cp:coreProperties>
</file>