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AA" w:rsidRPr="00661404" w:rsidRDefault="008449AA" w:rsidP="00DA4B1D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</w:pPr>
      <w:r w:rsidRPr="0066140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Supplementary</w:t>
      </w:r>
      <w:r w:rsidRPr="0066140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 xml:space="preserve"> </w:t>
      </w:r>
      <w:r w:rsidR="00F4066B" w:rsidRPr="0066140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data</w:t>
      </w:r>
    </w:p>
    <w:p w:rsidR="00283FE5" w:rsidRPr="007B1467" w:rsidRDefault="00283FE5" w:rsidP="00283FE5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7B14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Unravelling the beehive air volatiles profile as analysed </w:t>
      </w:r>
      <w:r w:rsidRPr="007B1467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via</w:t>
      </w:r>
      <w:r w:rsidRPr="007B14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solid-phase </w:t>
      </w:r>
      <w:proofErr w:type="spellStart"/>
      <w:r w:rsidRPr="007B14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microextraction</w:t>
      </w:r>
      <w:proofErr w:type="spellEnd"/>
      <w:r w:rsidRPr="007B14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(SPME) and </w:t>
      </w:r>
      <w:proofErr w:type="spellStart"/>
      <w:r w:rsidRPr="007B146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chemometrics</w:t>
      </w:r>
      <w:proofErr w:type="spellEnd"/>
    </w:p>
    <w:p w:rsidR="00283FE5" w:rsidRPr="007B1467" w:rsidRDefault="00283FE5" w:rsidP="00A56E3A">
      <w:pPr>
        <w:pStyle w:val="MDPI11articletype"/>
        <w:spacing w:line="480" w:lineRule="auto"/>
        <w:jc w:val="both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Aida A.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Abd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El-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Wahed</w:t>
      </w:r>
      <w:r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a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, Mohamed A.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Farag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b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,</w:t>
      </w:r>
      <w:r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c</w:t>
      </w:r>
      <w:proofErr w:type="spellEnd"/>
      <w:r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,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*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Walaa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A.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Eraqi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d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941B7C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Gaber</w:t>
      </w:r>
      <w:proofErr w:type="spellEnd"/>
      <w:r w:rsidRPr="00941B7C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A. M. </w:t>
      </w:r>
      <w:proofErr w:type="spellStart"/>
      <w:r w:rsidRPr="00941B7C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Mersal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e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, Chao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Zhao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f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Shaden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A.</w:t>
      </w:r>
      <w:r w:rsidR="0083359A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M.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Khalifa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g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,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Hesham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R. El-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Seedi</w:t>
      </w:r>
      <w:proofErr w:type="spellEnd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 xml:space="preserve"> </w:t>
      </w:r>
      <w:proofErr w:type="spellStart"/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h,i,j</w:t>
      </w:r>
      <w:proofErr w:type="spellEnd"/>
      <w:r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,</w:t>
      </w:r>
      <w:r w:rsidRPr="007B1467">
        <w:rPr>
          <w:rFonts w:asciiTheme="majorBidi" w:hAnsiTheme="majorBidi" w:cstheme="majorBidi"/>
          <w:b/>
          <w:bCs/>
          <w:i w:val="0"/>
          <w:iCs/>
          <w:sz w:val="24"/>
          <w:szCs w:val="24"/>
          <w:vertAlign w:val="superscript"/>
        </w:rPr>
        <w:t>*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</w:pPr>
      <w:proofErr w:type="gramStart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a</w:t>
      </w:r>
      <w:proofErr w:type="gramEnd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Department of Bee Research, Plant Protection Research Institute, Agricultural Research Centre, 12627 Giza, Egypt </w:t>
      </w:r>
    </w:p>
    <w:p w:rsidR="00283FE5" w:rsidRPr="007B1467" w:rsidRDefault="00283FE5" w:rsidP="00A56E3A">
      <w:pPr>
        <w:bidi w:val="0"/>
        <w:adjustRightInd w:val="0"/>
        <w:snapToGrid w:val="0"/>
        <w:spacing w:before="240" w:after="0" w:line="480" w:lineRule="auto"/>
        <w:jc w:val="both"/>
        <w:rPr>
          <w:rFonts w:asciiTheme="majorBidi" w:hAnsiTheme="majorBidi" w:cstheme="majorBidi"/>
          <w:iCs/>
          <w:snapToGrid w:val="0"/>
          <w:color w:val="0563C1"/>
          <w:sz w:val="24"/>
          <w:szCs w:val="24"/>
          <w:u w:val="single"/>
          <w:lang w:bidi="en-US"/>
        </w:rPr>
      </w:pPr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b </w:t>
      </w:r>
      <w:proofErr w:type="spell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Pharmacognosy</w:t>
      </w:r>
      <w:proofErr w:type="spellEnd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 Department, College of Pharmacy, Cairo University, </w:t>
      </w:r>
      <w:proofErr w:type="spell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Kasr</w:t>
      </w:r>
      <w:proofErr w:type="spellEnd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 el </w:t>
      </w:r>
      <w:proofErr w:type="spell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Aini</w:t>
      </w:r>
      <w:proofErr w:type="spellEnd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 St., P.B. 11562, Cairo, Egypt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color w:val="000000"/>
          <w:sz w:val="24"/>
          <w:szCs w:val="24"/>
          <w:lang w:bidi="en-US"/>
        </w:rPr>
      </w:pPr>
      <w:proofErr w:type="gramStart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c</w:t>
      </w:r>
      <w:proofErr w:type="gramEnd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Department of Chemistry, School of Sciences and Engineering, The American University in Cairo, New Cairo 11835, Egypt 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</w:pPr>
      <w:proofErr w:type="gram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d</w:t>
      </w:r>
      <w:proofErr w:type="gramEnd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Department of Microbiology and Immunology, Faculty of Pharmacy, Cairo University, Cairo 11562, Egypt</w:t>
      </w:r>
    </w:p>
    <w:p w:rsidR="00283FE5" w:rsidRPr="00941B7C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</w:pPr>
      <w:proofErr w:type="gram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e</w:t>
      </w:r>
      <w:proofErr w:type="gramEnd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941B7C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Chemistry Department, College of Science, </w:t>
      </w:r>
      <w:proofErr w:type="spellStart"/>
      <w:r w:rsidRPr="00941B7C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Taif</w:t>
      </w:r>
      <w:proofErr w:type="spellEnd"/>
      <w:r w:rsidRPr="00941B7C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 University, </w:t>
      </w:r>
      <w:proofErr w:type="spellStart"/>
      <w:r w:rsidRPr="00941B7C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Taif</w:t>
      </w:r>
      <w:proofErr w:type="spellEnd"/>
      <w:r w:rsidRPr="00941B7C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 21944, Saudi Arabia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color w:val="0000FF"/>
          <w:sz w:val="24"/>
          <w:szCs w:val="24"/>
          <w:u w:val="single"/>
          <w:lang w:bidi="en-US"/>
        </w:rPr>
      </w:pPr>
      <w:proofErr w:type="gram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f</w:t>
      </w:r>
      <w:proofErr w:type="gramEnd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College of Food Science, Fujian Agriculture and Forestry University, Fuzhou 350002, China 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color w:val="0000FF"/>
          <w:sz w:val="24"/>
          <w:szCs w:val="24"/>
          <w:u w:val="single"/>
          <w:lang w:bidi="en-US"/>
        </w:rPr>
      </w:pPr>
      <w:proofErr w:type="gram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g</w:t>
      </w:r>
      <w:proofErr w:type="gramEnd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Department of Molecular Biosciences, The </w:t>
      </w:r>
      <w:proofErr w:type="spell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>Wenner-Gren</w:t>
      </w:r>
      <w:proofErr w:type="spellEnd"/>
      <w:r w:rsidRPr="007B1467">
        <w:rPr>
          <w:rFonts w:asciiTheme="majorBidi" w:hAnsiTheme="majorBidi" w:cstheme="majorBidi"/>
          <w:iCs/>
          <w:snapToGrid w:val="0"/>
          <w:sz w:val="24"/>
          <w:szCs w:val="24"/>
          <w:lang w:bidi="en-US"/>
        </w:rPr>
        <w:t xml:space="preserve"> Institute, Stockholm University, S-10691, Stockholm, Sweden 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color w:val="0000FF"/>
          <w:sz w:val="24"/>
          <w:szCs w:val="24"/>
          <w:u w:val="single"/>
          <w:lang w:bidi="en-US"/>
        </w:rPr>
      </w:pPr>
      <w:proofErr w:type="gramStart"/>
      <w:r w:rsidRPr="007B1467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h</w:t>
      </w:r>
      <w:proofErr w:type="gramEnd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proofErr w:type="spellStart"/>
      <w:r w:rsidRPr="007B1467">
        <w:rPr>
          <w:rFonts w:asciiTheme="majorBidi" w:hAnsiTheme="majorBidi" w:cstheme="majorBidi"/>
          <w:bCs/>
          <w:sz w:val="24"/>
          <w:szCs w:val="24"/>
        </w:rPr>
        <w:t>Pharmacognosy</w:t>
      </w:r>
      <w:proofErr w:type="spellEnd"/>
      <w:r w:rsidRPr="007B1467">
        <w:rPr>
          <w:rFonts w:asciiTheme="majorBidi" w:hAnsiTheme="majorBidi" w:cstheme="majorBidi"/>
          <w:bCs/>
          <w:sz w:val="24"/>
          <w:szCs w:val="24"/>
        </w:rPr>
        <w:t xml:space="preserve"> Group, Department of Pharmaceutical Biosciences, Uppsala University, Biomedical Centre, Box 574, 751 23 Uppsala, Sweden</w:t>
      </w:r>
    </w:p>
    <w:p w:rsidR="00283FE5" w:rsidRPr="007B1467" w:rsidRDefault="00283FE5" w:rsidP="00A56E3A">
      <w:pPr>
        <w:bidi w:val="0"/>
        <w:adjustRightInd w:val="0"/>
        <w:snapToGrid w:val="0"/>
        <w:spacing w:after="0" w:line="480" w:lineRule="auto"/>
        <w:jc w:val="both"/>
        <w:rPr>
          <w:rFonts w:asciiTheme="majorBidi" w:hAnsiTheme="majorBidi" w:cstheme="majorBidi"/>
          <w:iCs/>
          <w:snapToGrid w:val="0"/>
          <w:color w:val="0000FF"/>
          <w:sz w:val="24"/>
          <w:szCs w:val="24"/>
          <w:u w:val="single"/>
          <w:lang w:bidi="en-US"/>
        </w:rPr>
      </w:pPr>
      <w:proofErr w:type="gramStart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i</w:t>
      </w:r>
      <w:proofErr w:type="gramEnd"/>
      <w:r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7B1467">
        <w:rPr>
          <w:rFonts w:asciiTheme="majorBidi" w:hAnsiTheme="majorBidi" w:cstheme="majorBidi"/>
          <w:bCs/>
          <w:sz w:val="24"/>
          <w:szCs w:val="24"/>
        </w:rPr>
        <w:t xml:space="preserve">Department of Chemistry, Faculty of Science, </w:t>
      </w:r>
      <w:proofErr w:type="spellStart"/>
      <w:r w:rsidRPr="007B1467">
        <w:rPr>
          <w:rFonts w:asciiTheme="majorBidi" w:hAnsiTheme="majorBidi" w:cstheme="majorBidi"/>
          <w:bCs/>
          <w:sz w:val="24"/>
          <w:szCs w:val="24"/>
        </w:rPr>
        <w:t>Menouﬁa</w:t>
      </w:r>
      <w:proofErr w:type="spellEnd"/>
      <w:r w:rsidRPr="007B1467">
        <w:rPr>
          <w:rFonts w:asciiTheme="majorBidi" w:hAnsiTheme="majorBidi" w:cstheme="majorBidi"/>
          <w:bCs/>
          <w:sz w:val="24"/>
          <w:szCs w:val="24"/>
        </w:rPr>
        <w:t xml:space="preserve"> University, 32512 </w:t>
      </w:r>
      <w:proofErr w:type="spellStart"/>
      <w:r w:rsidRPr="007B1467">
        <w:rPr>
          <w:rFonts w:asciiTheme="majorBidi" w:hAnsiTheme="majorBidi" w:cstheme="majorBidi"/>
          <w:bCs/>
          <w:sz w:val="24"/>
          <w:szCs w:val="24"/>
        </w:rPr>
        <w:t>Shebin</w:t>
      </w:r>
      <w:proofErr w:type="spellEnd"/>
      <w:r w:rsidRPr="007B1467">
        <w:rPr>
          <w:rFonts w:asciiTheme="majorBidi" w:hAnsiTheme="majorBidi" w:cstheme="majorBidi"/>
          <w:bCs/>
          <w:sz w:val="24"/>
          <w:szCs w:val="24"/>
        </w:rPr>
        <w:t xml:space="preserve"> El-</w:t>
      </w:r>
      <w:proofErr w:type="spellStart"/>
      <w:r w:rsidRPr="007B1467">
        <w:rPr>
          <w:rFonts w:asciiTheme="majorBidi" w:hAnsiTheme="majorBidi" w:cstheme="majorBidi"/>
          <w:bCs/>
          <w:sz w:val="24"/>
          <w:szCs w:val="24"/>
        </w:rPr>
        <w:t>Kom</w:t>
      </w:r>
      <w:proofErr w:type="spellEnd"/>
      <w:r w:rsidRPr="007B1467">
        <w:rPr>
          <w:rFonts w:asciiTheme="majorBidi" w:hAnsiTheme="majorBidi" w:cstheme="majorBidi"/>
          <w:bCs/>
          <w:sz w:val="24"/>
          <w:szCs w:val="24"/>
        </w:rPr>
        <w:t>, Egypt</w:t>
      </w:r>
    </w:p>
    <w:p w:rsidR="00283FE5" w:rsidRPr="00BE30BB" w:rsidRDefault="00283FE5" w:rsidP="00A56E3A">
      <w:pPr>
        <w:shd w:val="clear" w:color="auto" w:fill="FFFFFF"/>
        <w:bidi w:val="0"/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BE30BB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>j</w:t>
      </w:r>
      <w:proofErr w:type="gramEnd"/>
      <w:r w:rsidRPr="00BE30BB">
        <w:rPr>
          <w:rFonts w:asciiTheme="majorBidi" w:hAnsiTheme="majorBidi" w:cstheme="majorBidi"/>
          <w:iCs/>
          <w:snapToGrid w:val="0"/>
          <w:sz w:val="24"/>
          <w:szCs w:val="24"/>
          <w:vertAlign w:val="superscript"/>
          <w:lang w:bidi="en-US"/>
        </w:rPr>
        <w:t xml:space="preserve"> </w:t>
      </w:r>
      <w:r w:rsidRPr="00BE30BB">
        <w:rPr>
          <w:rFonts w:ascii="Palatino Linotype" w:hAnsi="Palatino Linotype" w:cstheme="majorBidi"/>
          <w:bCs/>
          <w:color w:val="000000" w:themeColor="text1"/>
          <w:sz w:val="24"/>
          <w:szCs w:val="24"/>
        </w:rPr>
        <w:t>International Research Center for Food Nutrition and Safety, Jiangsu University, Zhenjiang 212013, China</w:t>
      </w:r>
    </w:p>
    <w:p w:rsidR="00283FE5" w:rsidRPr="007B1467" w:rsidRDefault="00283FE5" w:rsidP="00A56E3A">
      <w:pPr>
        <w:bidi w:val="0"/>
        <w:spacing w:before="240" w:line="480" w:lineRule="auto"/>
        <w:jc w:val="both"/>
        <w:rPr>
          <w:rStyle w:val="Heading1Char"/>
          <w:rFonts w:asciiTheme="majorBidi" w:eastAsia="Calibri" w:hAnsiTheme="majorBidi" w:cstheme="majorBidi"/>
          <w:b w:val="0"/>
          <w:bCs w:val="0"/>
          <w:i/>
          <w:iCs/>
          <w:color w:val="0000FF"/>
          <w:sz w:val="24"/>
          <w:szCs w:val="24"/>
          <w:u w:val="single"/>
        </w:rPr>
      </w:pPr>
      <w:r>
        <w:rPr>
          <w:rStyle w:val="Heading1Char"/>
          <w:rFonts w:asciiTheme="majorBidi" w:eastAsia="Calibri" w:hAnsiTheme="majorBidi" w:cstheme="majorBidi"/>
          <w:iCs/>
          <w:sz w:val="24"/>
          <w:szCs w:val="24"/>
        </w:rPr>
        <w:lastRenderedPageBreak/>
        <w:t>*Corresponding author</w:t>
      </w:r>
      <w:r>
        <w:rPr>
          <w:rStyle w:val="Heading1Char"/>
          <w:rFonts w:asciiTheme="majorBidi" w:eastAsia="Calibri" w:hAnsiTheme="majorBidi" w:cstheme="majorBidi"/>
          <w:sz w:val="24"/>
          <w:szCs w:val="24"/>
        </w:rPr>
        <w:t xml:space="preserve">: </w:t>
      </w:r>
      <w:hyperlink r:id="rId9" w:history="1">
        <w:r w:rsidRPr="00283FE5">
          <w:rPr>
            <w:rStyle w:val="Heading1Char"/>
            <w:rFonts w:asciiTheme="majorBidi" w:eastAsia="Calibri" w:hAnsiTheme="majorBidi" w:cstheme="majorBidi"/>
            <w:b w:val="0"/>
            <w:bCs w:val="0"/>
            <w:iCs/>
            <w:color w:val="0000FF"/>
            <w:sz w:val="24"/>
            <w:szCs w:val="24"/>
            <w:u w:val="single"/>
          </w:rPr>
          <w:t>Mohamed.farag@pharma.cu.edu.eg</w:t>
        </w:r>
      </w:hyperlink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color w:val="0000FF"/>
          <w:sz w:val="24"/>
          <w:szCs w:val="24"/>
        </w:rPr>
        <w:t xml:space="preserve"> </w:t>
      </w:r>
      <w:r w:rsidRPr="00A56E3A">
        <w:rPr>
          <w:rStyle w:val="Heading1Char"/>
          <w:rFonts w:asciiTheme="majorBidi" w:eastAsia="Calibri" w:hAnsiTheme="majorBidi" w:cstheme="majorBidi"/>
          <w:b w:val="0"/>
          <w:bCs w:val="0"/>
          <w:iCs/>
          <w:sz w:val="24"/>
          <w:szCs w:val="24"/>
        </w:rPr>
        <w:t>&amp;</w:t>
      </w:r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color w:val="0000FF"/>
          <w:sz w:val="24"/>
          <w:szCs w:val="24"/>
        </w:rPr>
        <w:t xml:space="preserve"> </w:t>
      </w:r>
      <w:hyperlink r:id="rId10" w:history="1">
        <w:r w:rsidRPr="00283FE5">
          <w:rPr>
            <w:rStyle w:val="Heading1Char"/>
            <w:rFonts w:asciiTheme="majorBidi" w:eastAsia="Calibri" w:hAnsiTheme="majorBidi" w:cstheme="majorBidi"/>
            <w:b w:val="0"/>
            <w:bCs w:val="0"/>
            <w:iCs/>
            <w:color w:val="0000FF"/>
            <w:sz w:val="24"/>
            <w:szCs w:val="24"/>
            <w:u w:val="single"/>
          </w:rPr>
          <w:t>Mohamed.alifarag@aucegypt.edu</w:t>
        </w:r>
      </w:hyperlink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color w:val="0000FF"/>
          <w:sz w:val="24"/>
          <w:szCs w:val="24"/>
        </w:rPr>
        <w:t xml:space="preserve">; </w:t>
      </w:r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sz w:val="24"/>
          <w:szCs w:val="24"/>
          <w:lang w:val="en-GB"/>
        </w:rPr>
        <w:t xml:space="preserve">Tel.: </w:t>
      </w:r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sz w:val="24"/>
          <w:szCs w:val="24"/>
        </w:rPr>
        <w:t>+011-202-2362245</w:t>
      </w:r>
      <w:r w:rsidRPr="00283FE5">
        <w:rPr>
          <w:rStyle w:val="BalloonTextChar"/>
          <w:rFonts w:asciiTheme="majorBidi" w:eastAsia="SimSun" w:hAnsiTheme="majorBidi" w:cstheme="majorBidi"/>
          <w:b/>
          <w:bCs/>
          <w:iCs/>
          <w:sz w:val="24"/>
          <w:szCs w:val="24"/>
          <w:lang w:val="en-GB"/>
        </w:rPr>
        <w:t xml:space="preserve"> (M.F.A</w:t>
      </w:r>
      <w:r w:rsidRPr="00283FE5">
        <w:rPr>
          <w:rStyle w:val="Heading1Char"/>
          <w:rFonts w:asciiTheme="majorBidi" w:eastAsia="Calibri" w:hAnsiTheme="majorBidi" w:cstheme="majorBidi"/>
          <w:b w:val="0"/>
          <w:bCs w:val="0"/>
          <w:sz w:val="24"/>
          <w:szCs w:val="24"/>
        </w:rPr>
        <w:t xml:space="preserve">); </w:t>
      </w:r>
      <w:hyperlink r:id="rId11" w:history="1">
        <w:r w:rsidRPr="00283FE5">
          <w:rPr>
            <w:rStyle w:val="Heading1Char"/>
            <w:rFonts w:asciiTheme="majorBidi" w:eastAsia="Calibri" w:hAnsiTheme="majorBidi" w:cstheme="majorBidi"/>
            <w:b w:val="0"/>
            <w:bCs w:val="0"/>
            <w:iCs/>
            <w:color w:val="0000FF"/>
            <w:sz w:val="24"/>
            <w:szCs w:val="24"/>
            <w:u w:val="single"/>
          </w:rPr>
          <w:t>hesham.el-seedi@farmbio.uu.se</w:t>
        </w:r>
      </w:hyperlink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color w:val="0000FF"/>
          <w:sz w:val="24"/>
          <w:szCs w:val="24"/>
          <w:u w:val="single"/>
        </w:rPr>
        <w:t xml:space="preserve"> </w:t>
      </w:r>
      <w:r w:rsidRPr="00283FE5">
        <w:rPr>
          <w:rStyle w:val="Heading1Char"/>
          <w:rFonts w:asciiTheme="majorBidi" w:eastAsia="Calibri" w:hAnsiTheme="majorBidi" w:cstheme="majorBidi"/>
          <w:b w:val="0"/>
          <w:bCs w:val="0"/>
          <w:iCs/>
          <w:sz w:val="24"/>
          <w:szCs w:val="24"/>
        </w:rPr>
        <w:t xml:space="preserve">; Tel.: +46 700 43 43 43 (H.R.E.-S.) </w:t>
      </w:r>
    </w:p>
    <w:p w:rsidR="006C5C46" w:rsidRPr="00283FE5" w:rsidRDefault="006C5C46" w:rsidP="00DA4B1D">
      <w:pPr>
        <w:adjustRightInd w:val="0"/>
        <w:snapToGrid w:val="0"/>
        <w:spacing w:before="240" w:line="480" w:lineRule="auto"/>
        <w:jc w:val="right"/>
        <w:rPr>
          <w:rFonts w:asciiTheme="majorBidi" w:hAnsiTheme="majorBidi" w:cstheme="majorBidi"/>
          <w:iCs/>
          <w:snapToGrid w:val="0"/>
          <w:color w:val="0000FF"/>
          <w:sz w:val="24"/>
          <w:szCs w:val="24"/>
          <w:u w:val="single"/>
          <w:lang w:bidi="en-US"/>
        </w:rPr>
      </w:pPr>
    </w:p>
    <w:p w:rsidR="00773944" w:rsidRPr="00151336" w:rsidRDefault="00773944" w:rsidP="00B06115">
      <w:pPr>
        <w:pStyle w:val="ListParagraph"/>
        <w:spacing w:line="480" w:lineRule="auto"/>
        <w:ind w:right="27"/>
        <w:jc w:val="center"/>
        <w:rPr>
          <w:rFonts w:asciiTheme="majorBidi" w:hAnsiTheme="majorBidi" w:cstheme="majorBidi"/>
          <w:b/>
          <w:bCs/>
          <w:color w:val="000000"/>
        </w:rPr>
      </w:pPr>
      <w:bookmarkStart w:id="0" w:name="_GoBack"/>
      <w:r w:rsidRPr="00151336">
        <w:rPr>
          <w:rFonts w:asciiTheme="majorBidi" w:hAnsiTheme="majorBidi" w:cstheme="majorBidi"/>
          <w:noProof/>
        </w:rPr>
        <w:drawing>
          <wp:inline distT="0" distB="0" distL="0" distR="0" wp14:anchorId="78307FC2" wp14:editId="6D441017">
            <wp:extent cx="5731510" cy="3558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3944" w:rsidRPr="00151336" w:rsidRDefault="00935A7C" w:rsidP="00DA4B1D">
      <w:pPr>
        <w:pStyle w:val="ListParagraph"/>
        <w:spacing w:line="480" w:lineRule="auto"/>
        <w:ind w:right="27"/>
        <w:jc w:val="both"/>
        <w:rPr>
          <w:rFonts w:asciiTheme="majorBidi" w:hAnsiTheme="majorBidi" w:cstheme="majorBidi"/>
          <w:b/>
          <w:bCs/>
          <w:color w:val="000000"/>
        </w:rPr>
      </w:pPr>
      <w:proofErr w:type="gramStart"/>
      <w:r w:rsidRPr="00151336">
        <w:rPr>
          <w:rFonts w:asciiTheme="majorBidi" w:hAnsiTheme="majorBidi" w:cstheme="majorBidi"/>
          <w:b/>
          <w:bCs/>
        </w:rPr>
        <w:t>Fig.</w:t>
      </w:r>
      <w:proofErr w:type="gramEnd"/>
      <w:r w:rsidR="00773944" w:rsidRPr="00151336">
        <w:rPr>
          <w:rFonts w:asciiTheme="majorBidi" w:hAnsiTheme="majorBidi" w:cstheme="majorBidi"/>
          <w:b/>
          <w:bCs/>
        </w:rPr>
        <w:t xml:space="preserve"> S1</w:t>
      </w:r>
      <w:r w:rsidR="00773944" w:rsidRPr="00151336">
        <w:rPr>
          <w:rFonts w:asciiTheme="majorBidi" w:hAnsiTheme="majorBidi" w:cstheme="majorBidi"/>
        </w:rPr>
        <w:t xml:space="preserve">. </w:t>
      </w:r>
      <w:proofErr w:type="gramStart"/>
      <w:r w:rsidR="00773944" w:rsidRPr="00151336">
        <w:rPr>
          <w:rFonts w:asciiTheme="majorBidi" w:hAnsiTheme="majorBidi" w:cstheme="majorBidi"/>
          <w:color w:val="000000"/>
        </w:rPr>
        <w:t>Representative SPME GC-MS chromatograms of propolis and honey headspace</w:t>
      </w:r>
      <w:r w:rsidR="008B1308" w:rsidRPr="00151336">
        <w:rPr>
          <w:rFonts w:asciiTheme="majorBidi" w:hAnsiTheme="majorBidi" w:cstheme="majorBidi"/>
          <w:color w:val="000000"/>
        </w:rPr>
        <w:t>.</w:t>
      </w:r>
      <w:proofErr w:type="gramEnd"/>
    </w:p>
    <w:p w:rsidR="009E0092" w:rsidRPr="00151336" w:rsidRDefault="00487C7D" w:rsidP="00B06115">
      <w:pPr>
        <w:bidi w:val="0"/>
        <w:spacing w:line="480" w:lineRule="auto"/>
        <w:ind w:right="27"/>
        <w:jc w:val="center"/>
        <w:rPr>
          <w:rFonts w:asciiTheme="majorBidi" w:hAnsiTheme="majorBidi" w:cstheme="majorBidi"/>
          <w:sz w:val="24"/>
          <w:szCs w:val="24"/>
        </w:rPr>
      </w:pPr>
      <w:r w:rsidRPr="0015133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C696FD" wp14:editId="519B0C53">
            <wp:extent cx="3166110" cy="2475865"/>
            <wp:effectExtent l="19050" t="19050" r="15240" b="19685"/>
            <wp:docPr id="2" name="Picture 2" descr="C:\Users\aida\AppData\Local\Temp\SNAGHTML407a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\AppData\Local\Temp\SNAGHTML407a5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4758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A332B" w:rsidRPr="00151336" w:rsidRDefault="00935A7C" w:rsidP="00DA4B1D">
      <w:pPr>
        <w:pStyle w:val="Caption"/>
        <w:spacing w:line="480" w:lineRule="auto"/>
        <w:ind w:firstLine="0"/>
        <w:rPr>
          <w:rFonts w:cstheme="majorBidi"/>
          <w:b/>
          <w:bCs/>
          <w:i w:val="0"/>
          <w:iCs w:val="0"/>
          <w:sz w:val="24"/>
          <w:szCs w:val="24"/>
        </w:rPr>
      </w:pPr>
      <w:proofErr w:type="gramStart"/>
      <w:r w:rsidRPr="00151336">
        <w:rPr>
          <w:rFonts w:cstheme="majorBidi"/>
          <w:b/>
          <w:bCs/>
          <w:i w:val="0"/>
          <w:iCs w:val="0"/>
          <w:color w:val="auto"/>
          <w:sz w:val="24"/>
          <w:szCs w:val="24"/>
        </w:rPr>
        <w:lastRenderedPageBreak/>
        <w:t>Fig.</w:t>
      </w:r>
      <w:proofErr w:type="gramEnd"/>
      <w:r w:rsidR="00F05AEA" w:rsidRPr="00151336">
        <w:rPr>
          <w:rFonts w:cs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449AA" w:rsidRPr="00151336">
        <w:rPr>
          <w:rFonts w:cstheme="majorBidi"/>
          <w:b/>
          <w:bCs/>
          <w:i w:val="0"/>
          <w:iCs w:val="0"/>
          <w:color w:val="auto"/>
          <w:sz w:val="24"/>
          <w:szCs w:val="24"/>
        </w:rPr>
        <w:t>S</w:t>
      </w:r>
      <w:r w:rsidR="00773944" w:rsidRPr="00151336">
        <w:rPr>
          <w:rFonts w:cstheme="majorBidi"/>
          <w:b/>
          <w:bCs/>
          <w:i w:val="0"/>
          <w:iCs w:val="0"/>
          <w:color w:val="auto"/>
          <w:sz w:val="24"/>
          <w:szCs w:val="24"/>
        </w:rPr>
        <w:t>2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.</w:t>
      </w:r>
      <w:r w:rsidR="00490CA5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Viab</w:t>
      </w:r>
      <w:r w:rsidR="00A63A94" w:rsidRPr="00151336">
        <w:rPr>
          <w:rFonts w:cstheme="majorBidi"/>
          <w:i w:val="0"/>
          <w:iCs w:val="0"/>
          <w:color w:val="auto"/>
          <w:sz w:val="24"/>
          <w:szCs w:val="24"/>
        </w:rPr>
        <w:t>ility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A63A94" w:rsidRPr="00151336">
        <w:rPr>
          <w:rFonts w:cstheme="majorBidi"/>
          <w:i w:val="0"/>
          <w:iCs w:val="0"/>
          <w:color w:val="auto"/>
          <w:sz w:val="24"/>
          <w:szCs w:val="24"/>
        </w:rPr>
        <w:t>titre</w:t>
      </w:r>
      <w:proofErr w:type="spellEnd"/>
      <w:r w:rsidR="00A63A94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assay at different dilutions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of </w:t>
      </w:r>
      <w:r w:rsidR="00F05AEA" w:rsidRPr="00151336">
        <w:rPr>
          <w:rFonts w:cstheme="majorBidi"/>
          <w:color w:val="auto"/>
          <w:sz w:val="24"/>
          <w:szCs w:val="24"/>
        </w:rPr>
        <w:t>S. aureus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solution spotted from </w:t>
      </w:r>
      <w:proofErr w:type="spellStart"/>
      <w:r w:rsidR="00A63A94" w:rsidRPr="00151336">
        <w:rPr>
          <w:rFonts w:cstheme="majorBidi"/>
          <w:i w:val="0"/>
          <w:iCs w:val="0"/>
          <w:color w:val="auto"/>
          <w:sz w:val="24"/>
          <w:szCs w:val="24"/>
        </w:rPr>
        <w:t>varient</w:t>
      </w:r>
      <w:proofErr w:type="spellEnd"/>
      <w:r w:rsidR="00A63A94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wells </w:t>
      </w:r>
      <w:r w:rsidR="00A63A94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onto a microplate 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post exposure to bee venom. (A) Negative </w:t>
      </w:r>
      <w:r w:rsidR="007824E9" w:rsidRPr="00151336">
        <w:rPr>
          <w:rFonts w:cstheme="majorBidi"/>
          <w:i w:val="0"/>
          <w:iCs w:val="0"/>
          <w:color w:val="auto"/>
          <w:sz w:val="24"/>
          <w:szCs w:val="24"/>
        </w:rPr>
        <w:t>c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ontrol, (B) Bacterial solution from 2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  <w:vertAlign w:val="superscript"/>
        </w:rPr>
        <w:t xml:space="preserve">nd 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well,</w:t>
      </w:r>
      <w:r w:rsidR="00487C7D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(C) Bacterial solution from 3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  <w:vertAlign w:val="superscript"/>
        </w:rPr>
        <w:t>rd</w:t>
      </w:r>
      <w:r w:rsidR="00490CA5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well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, (D) Bacterial solution from 4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  <w:vertAlign w:val="superscript"/>
        </w:rPr>
        <w:t>th</w:t>
      </w:r>
      <w:r w:rsidR="00490CA5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w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>ell</w:t>
      </w:r>
      <w:r w:rsidR="00487C7D" w:rsidRPr="00151336">
        <w:rPr>
          <w:rFonts w:cstheme="majorBidi"/>
          <w:i w:val="0"/>
          <w:iCs w:val="0"/>
          <w:color w:val="auto"/>
          <w:sz w:val="24"/>
          <w:szCs w:val="24"/>
        </w:rPr>
        <w:t>.</w:t>
      </w:r>
      <w:r w:rsidR="00F05AEA" w:rsidRPr="00151336">
        <w:rPr>
          <w:rFonts w:cstheme="majorBidi"/>
          <w:i w:val="0"/>
          <w:iCs w:val="0"/>
          <w:color w:val="auto"/>
          <w:sz w:val="24"/>
          <w:szCs w:val="24"/>
        </w:rPr>
        <w:t xml:space="preserve">  </w:t>
      </w:r>
    </w:p>
    <w:sectPr w:rsidR="000A332B" w:rsidRPr="00151336" w:rsidSect="00412FB3">
      <w:footerReference w:type="default" r:id="rId14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5" w:rsidRDefault="00DF3325" w:rsidP="00773944">
      <w:pPr>
        <w:spacing w:after="0" w:line="240" w:lineRule="auto"/>
      </w:pPr>
      <w:r>
        <w:separator/>
      </w:r>
    </w:p>
  </w:endnote>
  <w:endnote w:type="continuationSeparator" w:id="0">
    <w:p w:rsidR="00DF3325" w:rsidRDefault="00DF3325" w:rsidP="0077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33839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944" w:rsidRDefault="00773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11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773944" w:rsidRDefault="00773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5" w:rsidRDefault="00DF3325" w:rsidP="00773944">
      <w:pPr>
        <w:spacing w:after="0" w:line="240" w:lineRule="auto"/>
      </w:pPr>
      <w:r>
        <w:separator/>
      </w:r>
    </w:p>
  </w:footnote>
  <w:footnote w:type="continuationSeparator" w:id="0">
    <w:p w:rsidR="00DF3325" w:rsidRDefault="00DF3325" w:rsidP="0077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DD7"/>
    <w:multiLevelType w:val="hybridMultilevel"/>
    <w:tmpl w:val="7914598E"/>
    <w:lvl w:ilvl="0" w:tplc="8A568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A"/>
    <w:rsid w:val="000161EA"/>
    <w:rsid w:val="00037F37"/>
    <w:rsid w:val="00061978"/>
    <w:rsid w:val="0006751A"/>
    <w:rsid w:val="000A332B"/>
    <w:rsid w:val="00127E5D"/>
    <w:rsid w:val="00151336"/>
    <w:rsid w:val="00165E6D"/>
    <w:rsid w:val="00186E73"/>
    <w:rsid w:val="002800C4"/>
    <w:rsid w:val="00283FE5"/>
    <w:rsid w:val="00287F6A"/>
    <w:rsid w:val="002E5556"/>
    <w:rsid w:val="003C47FB"/>
    <w:rsid w:val="00402319"/>
    <w:rsid w:val="00412FB3"/>
    <w:rsid w:val="004423FB"/>
    <w:rsid w:val="004736E8"/>
    <w:rsid w:val="00487C7D"/>
    <w:rsid w:val="00490CA5"/>
    <w:rsid w:val="004B2A75"/>
    <w:rsid w:val="004D634A"/>
    <w:rsid w:val="005901FC"/>
    <w:rsid w:val="00626A36"/>
    <w:rsid w:val="00636D70"/>
    <w:rsid w:val="00644B4F"/>
    <w:rsid w:val="00661404"/>
    <w:rsid w:val="006A1234"/>
    <w:rsid w:val="006B08BA"/>
    <w:rsid w:val="006C5C46"/>
    <w:rsid w:val="006E4C4F"/>
    <w:rsid w:val="00763C8B"/>
    <w:rsid w:val="00773944"/>
    <w:rsid w:val="007824E9"/>
    <w:rsid w:val="00790C0C"/>
    <w:rsid w:val="0083359A"/>
    <w:rsid w:val="008449AA"/>
    <w:rsid w:val="008B1308"/>
    <w:rsid w:val="008E0ED7"/>
    <w:rsid w:val="008E7A94"/>
    <w:rsid w:val="00935A7C"/>
    <w:rsid w:val="00990B21"/>
    <w:rsid w:val="009A288E"/>
    <w:rsid w:val="009E0092"/>
    <w:rsid w:val="00A26A31"/>
    <w:rsid w:val="00A37D43"/>
    <w:rsid w:val="00A56E3A"/>
    <w:rsid w:val="00A63A94"/>
    <w:rsid w:val="00AA041D"/>
    <w:rsid w:val="00B06115"/>
    <w:rsid w:val="00B14034"/>
    <w:rsid w:val="00B2105A"/>
    <w:rsid w:val="00B85AC9"/>
    <w:rsid w:val="00C20C35"/>
    <w:rsid w:val="00CB2875"/>
    <w:rsid w:val="00D15259"/>
    <w:rsid w:val="00DA4B1D"/>
    <w:rsid w:val="00DD2697"/>
    <w:rsid w:val="00DF3325"/>
    <w:rsid w:val="00E55D93"/>
    <w:rsid w:val="00F05AEA"/>
    <w:rsid w:val="00F4066B"/>
    <w:rsid w:val="00F83EE4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EA"/>
    <w:pPr>
      <w:bidi/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6140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5AEA"/>
    <w:pPr>
      <w:bidi w:val="0"/>
      <w:spacing w:line="240" w:lineRule="auto"/>
      <w:ind w:firstLine="720"/>
      <w:jc w:val="both"/>
    </w:pPr>
    <w:rPr>
      <w:rFonts w:asciiTheme="majorBidi" w:hAnsiTheme="majorBidi"/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AE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05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44"/>
    <w:rPr>
      <w:rFonts w:ascii="Calibri" w:eastAsia="Calibri" w:hAnsi="Calibri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44"/>
    <w:rPr>
      <w:rFonts w:ascii="Calibri" w:eastAsia="Calibri" w:hAnsi="Calibri" w:cs="Arial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12FB3"/>
  </w:style>
  <w:style w:type="paragraph" w:customStyle="1" w:styleId="MDPI16affiliation">
    <w:name w:val="MDPI_1.6_affiliation"/>
    <w:basedOn w:val="Normal"/>
    <w:qFormat/>
    <w:rsid w:val="00CB2875"/>
    <w:pPr>
      <w:bidi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customStyle="1" w:styleId="MDPI11articletype">
    <w:name w:val="MDPI_1.1_article_type"/>
    <w:basedOn w:val="Normal"/>
    <w:next w:val="Normal"/>
    <w:qFormat/>
    <w:rsid w:val="00165E6D"/>
    <w:pPr>
      <w:bidi w:val="0"/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04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1404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EA"/>
    <w:pPr>
      <w:bidi/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6140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5AEA"/>
    <w:pPr>
      <w:bidi w:val="0"/>
      <w:spacing w:line="240" w:lineRule="auto"/>
      <w:ind w:firstLine="720"/>
      <w:jc w:val="both"/>
    </w:pPr>
    <w:rPr>
      <w:rFonts w:asciiTheme="majorBidi" w:hAnsiTheme="majorBidi"/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AE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05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44"/>
    <w:rPr>
      <w:rFonts w:ascii="Calibri" w:eastAsia="Calibri" w:hAnsi="Calibri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44"/>
    <w:rPr>
      <w:rFonts w:ascii="Calibri" w:eastAsia="Calibri" w:hAnsi="Calibri" w:cs="Arial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12FB3"/>
  </w:style>
  <w:style w:type="paragraph" w:customStyle="1" w:styleId="MDPI16affiliation">
    <w:name w:val="MDPI_1.6_affiliation"/>
    <w:basedOn w:val="Normal"/>
    <w:qFormat/>
    <w:rsid w:val="00CB2875"/>
    <w:pPr>
      <w:bidi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customStyle="1" w:styleId="MDPI11articletype">
    <w:name w:val="MDPI_1.1_article_type"/>
    <w:basedOn w:val="Normal"/>
    <w:next w:val="Normal"/>
    <w:qFormat/>
    <w:rsid w:val="00165E6D"/>
    <w:pPr>
      <w:bidi w:val="0"/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04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1404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sham.el-seedi@farmbio.uu.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hamed.alifarag@aucegypt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hamed.farag@pharma.cu.edu.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5B2E-8E76-44FF-9CD0-C9E3ED90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the future</cp:lastModifiedBy>
  <cp:revision>6</cp:revision>
  <cp:lastPrinted>2020-04-27T19:22:00Z</cp:lastPrinted>
  <dcterms:created xsi:type="dcterms:W3CDTF">2021-04-09T19:42:00Z</dcterms:created>
  <dcterms:modified xsi:type="dcterms:W3CDTF">2021-04-27T01:24:00Z</dcterms:modified>
</cp:coreProperties>
</file>