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ED" w:rsidRPr="00D22FD9" w:rsidRDefault="001C31ED" w:rsidP="001C31ED">
      <w:pPr>
        <w:spacing w:after="0"/>
        <w:ind w:right="2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FD9">
        <w:rPr>
          <w:rFonts w:ascii="Times New Roman" w:hAnsi="Times New Roman" w:cs="Times New Roman"/>
          <w:b/>
          <w:bCs/>
          <w:sz w:val="28"/>
          <w:szCs w:val="28"/>
        </w:rPr>
        <w:t xml:space="preserve">Identification of metabolic pathways involved in the biotransformation of </w:t>
      </w:r>
      <w:proofErr w:type="spellStart"/>
      <w:r w:rsidRPr="00D22FD9">
        <w:rPr>
          <w:rFonts w:ascii="Times New Roman" w:hAnsi="Times New Roman" w:cs="Times New Roman"/>
          <w:b/>
          <w:bCs/>
          <w:sz w:val="28"/>
          <w:szCs w:val="28"/>
        </w:rPr>
        <w:t>Eslicarbazepine</w:t>
      </w:r>
      <w:proofErr w:type="spellEnd"/>
      <w:r w:rsidRPr="00D22FD9">
        <w:rPr>
          <w:rFonts w:ascii="Times New Roman" w:hAnsi="Times New Roman" w:cs="Times New Roman"/>
          <w:b/>
          <w:bCs/>
          <w:sz w:val="28"/>
          <w:szCs w:val="28"/>
        </w:rPr>
        <w:t xml:space="preserve"> acetate using UPLC- MS/MS, human microsomal enzymes and </w:t>
      </w:r>
      <w:r w:rsidRPr="00D22FD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in </w:t>
      </w:r>
      <w:proofErr w:type="spellStart"/>
      <w:r w:rsidRPr="00D22FD9">
        <w:rPr>
          <w:rFonts w:ascii="Times New Roman" w:hAnsi="Times New Roman" w:cs="Times New Roman"/>
          <w:b/>
          <w:bCs/>
          <w:i/>
          <w:sz w:val="28"/>
          <w:szCs w:val="28"/>
        </w:rPr>
        <w:t>silico</w:t>
      </w:r>
      <w:proofErr w:type="spellEnd"/>
      <w:r w:rsidRPr="00D22FD9">
        <w:rPr>
          <w:rFonts w:ascii="Times New Roman" w:hAnsi="Times New Roman" w:cs="Times New Roman"/>
          <w:b/>
          <w:bCs/>
          <w:sz w:val="28"/>
          <w:szCs w:val="28"/>
        </w:rPr>
        <w:t xml:space="preserve"> studies</w:t>
      </w:r>
    </w:p>
    <w:p w:rsidR="001C31ED" w:rsidRDefault="001C31ED">
      <w:bookmarkStart w:id="0" w:name="_GoBack"/>
      <w:bookmarkEnd w:id="0"/>
    </w:p>
    <w:p w:rsidR="001C31ED" w:rsidRDefault="001C31ED" w:rsidP="001C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ED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:rsidR="001C31ED" w:rsidRDefault="001C31ED" w:rsidP="001C3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1ED" w:rsidRPr="0032293D" w:rsidRDefault="001C31ED" w:rsidP="001C31ED">
      <w:pPr>
        <w:pStyle w:val="BodyText"/>
        <w:spacing w:line="276" w:lineRule="auto"/>
        <w:jc w:val="center"/>
        <w:rPr>
          <w:rFonts w:ascii="Times New Roman" w:hAnsi="Times New Roman"/>
          <w:b/>
          <w:color w:val="FF0000"/>
          <w:sz w:val="24"/>
        </w:rPr>
      </w:pPr>
      <w:r w:rsidRPr="0032293D">
        <w:rPr>
          <w:rFonts w:ascii="Times New Roman" w:eastAsia="BookmanOldStyle" w:hAnsi="Times New Roman"/>
          <w:b/>
          <w:color w:val="000000" w:themeColor="text1"/>
          <w:sz w:val="24"/>
        </w:rPr>
        <w:t xml:space="preserve">Table </w:t>
      </w:r>
      <w:r>
        <w:rPr>
          <w:rFonts w:ascii="Times New Roman" w:eastAsia="BookmanOldStyle" w:hAnsi="Times New Roman"/>
          <w:b/>
          <w:color w:val="000000" w:themeColor="text1"/>
          <w:sz w:val="24"/>
        </w:rPr>
        <w:t>S1:</w:t>
      </w:r>
      <w:r w:rsidRPr="0032293D">
        <w:rPr>
          <w:rFonts w:ascii="Times New Roman" w:hAnsi="Times New Roman"/>
          <w:b/>
          <w:sz w:val="24"/>
        </w:rPr>
        <w:t xml:space="preserve">Retention time (RT) and relative retention time (RRT) of </w:t>
      </w:r>
      <w:proofErr w:type="spellStart"/>
      <w:r w:rsidRPr="0032293D">
        <w:rPr>
          <w:rFonts w:ascii="Times New Roman" w:hAnsi="Times New Roman"/>
          <w:b/>
          <w:sz w:val="24"/>
        </w:rPr>
        <w:t>eslicarbazepine</w:t>
      </w:r>
      <w:proofErr w:type="spellEnd"/>
      <w:r w:rsidRPr="0032293D">
        <w:rPr>
          <w:rFonts w:ascii="Times New Roman" w:eastAsia="BookmanOldStyle" w:hAnsi="Times New Roman"/>
          <w:b/>
          <w:color w:val="000000" w:themeColor="text1"/>
          <w:sz w:val="24"/>
        </w:rPr>
        <w:t xml:space="preserve"> acetate and its metabolites (M1-M3).</w:t>
      </w:r>
    </w:p>
    <w:tbl>
      <w:tblPr>
        <w:tblStyle w:val="TableGrid"/>
        <w:tblW w:w="0" w:type="auto"/>
        <w:jc w:val="center"/>
        <w:tblLook w:val="04A0"/>
      </w:tblPr>
      <w:tblGrid>
        <w:gridCol w:w="1825"/>
        <w:gridCol w:w="1620"/>
        <w:gridCol w:w="1890"/>
        <w:gridCol w:w="1761"/>
      </w:tblGrid>
      <w:tr w:rsidR="001C31ED" w:rsidRPr="0032293D" w:rsidTr="00D80745">
        <w:trPr>
          <w:jc w:val="center"/>
        </w:trPr>
        <w:tc>
          <w:tcPr>
            <w:tcW w:w="1825" w:type="dxa"/>
          </w:tcPr>
          <w:p w:rsidR="001C31ED" w:rsidRPr="0032293D" w:rsidRDefault="001C31ED" w:rsidP="00D80745">
            <w:pPr>
              <w:spacing w:line="276" w:lineRule="auto"/>
              <w:ind w:right="237"/>
              <w:jc w:val="center"/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Compound</w:t>
            </w:r>
          </w:p>
        </w:tc>
        <w:tc>
          <w:tcPr>
            <w:tcW w:w="1620" w:type="dxa"/>
          </w:tcPr>
          <w:p w:rsidR="001C31ED" w:rsidRPr="0032293D" w:rsidRDefault="001C31ED" w:rsidP="00D80745">
            <w:pPr>
              <w:spacing w:line="276" w:lineRule="auto"/>
              <w:ind w:right="237"/>
              <w:jc w:val="center"/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RT</w:t>
            </w:r>
            <w:r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(min)</w:t>
            </w:r>
          </w:p>
        </w:tc>
        <w:tc>
          <w:tcPr>
            <w:tcW w:w="1890" w:type="dxa"/>
          </w:tcPr>
          <w:p w:rsidR="001C31ED" w:rsidRPr="0032293D" w:rsidRDefault="001C31ED" w:rsidP="00D80745">
            <w:pPr>
              <w:spacing w:line="276" w:lineRule="auto"/>
              <w:ind w:right="237"/>
              <w:jc w:val="center"/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RRT</w:t>
            </w:r>
            <w:r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61" w:type="dxa"/>
          </w:tcPr>
          <w:p w:rsidR="001C31ED" w:rsidRPr="0032293D" w:rsidRDefault="001C31ED" w:rsidP="00D80745">
            <w:pPr>
              <w:spacing w:line="276" w:lineRule="auto"/>
              <w:ind w:right="237"/>
              <w:jc w:val="center"/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Molecular Weight</w:t>
            </w:r>
          </w:p>
        </w:tc>
      </w:tr>
      <w:tr w:rsidR="001C31ED" w:rsidRPr="0032293D" w:rsidTr="00D80745">
        <w:trPr>
          <w:jc w:val="center"/>
        </w:trPr>
        <w:tc>
          <w:tcPr>
            <w:tcW w:w="1825" w:type="dxa"/>
          </w:tcPr>
          <w:p w:rsidR="001C31ED" w:rsidRPr="0032293D" w:rsidRDefault="001C31ED" w:rsidP="00D80745">
            <w:pPr>
              <w:spacing w:line="276" w:lineRule="auto"/>
              <w:ind w:right="237"/>
              <w:jc w:val="center"/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M1</w:t>
            </w:r>
          </w:p>
        </w:tc>
        <w:tc>
          <w:tcPr>
            <w:tcW w:w="1620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2.26</w:t>
            </w:r>
          </w:p>
        </w:tc>
        <w:tc>
          <w:tcPr>
            <w:tcW w:w="1890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0.72</w:t>
            </w:r>
          </w:p>
        </w:tc>
        <w:tc>
          <w:tcPr>
            <w:tcW w:w="1761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254.28</w:t>
            </w:r>
          </w:p>
        </w:tc>
      </w:tr>
      <w:tr w:rsidR="001C31ED" w:rsidRPr="0032293D" w:rsidTr="00D80745">
        <w:trPr>
          <w:jc w:val="center"/>
        </w:trPr>
        <w:tc>
          <w:tcPr>
            <w:tcW w:w="1825" w:type="dxa"/>
          </w:tcPr>
          <w:p w:rsidR="001C31ED" w:rsidRPr="0032293D" w:rsidRDefault="001C31ED" w:rsidP="00D80745">
            <w:pPr>
              <w:spacing w:line="276" w:lineRule="auto"/>
              <w:ind w:right="237"/>
              <w:jc w:val="center"/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M2</w:t>
            </w:r>
          </w:p>
        </w:tc>
        <w:tc>
          <w:tcPr>
            <w:tcW w:w="1620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2.58</w:t>
            </w:r>
          </w:p>
        </w:tc>
        <w:tc>
          <w:tcPr>
            <w:tcW w:w="1890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0.82</w:t>
            </w:r>
          </w:p>
        </w:tc>
        <w:tc>
          <w:tcPr>
            <w:tcW w:w="1761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252.27</w:t>
            </w:r>
          </w:p>
        </w:tc>
      </w:tr>
      <w:tr w:rsidR="001C31ED" w:rsidRPr="0032293D" w:rsidTr="00D80745">
        <w:trPr>
          <w:jc w:val="center"/>
        </w:trPr>
        <w:tc>
          <w:tcPr>
            <w:tcW w:w="1825" w:type="dxa"/>
          </w:tcPr>
          <w:p w:rsidR="001C31ED" w:rsidRPr="0032293D" w:rsidRDefault="001C31ED" w:rsidP="00D80745">
            <w:pPr>
              <w:spacing w:line="276" w:lineRule="auto"/>
              <w:ind w:right="237"/>
              <w:jc w:val="center"/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M3</w:t>
            </w:r>
          </w:p>
        </w:tc>
        <w:tc>
          <w:tcPr>
            <w:tcW w:w="1620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1.82</w:t>
            </w:r>
          </w:p>
        </w:tc>
        <w:tc>
          <w:tcPr>
            <w:tcW w:w="1890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0.58</w:t>
            </w:r>
          </w:p>
        </w:tc>
        <w:tc>
          <w:tcPr>
            <w:tcW w:w="1761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227.26</w:t>
            </w:r>
          </w:p>
        </w:tc>
      </w:tr>
      <w:tr w:rsidR="001C31ED" w:rsidRPr="0032293D" w:rsidTr="00D80745">
        <w:trPr>
          <w:trHeight w:val="70"/>
          <w:jc w:val="center"/>
        </w:trPr>
        <w:tc>
          <w:tcPr>
            <w:tcW w:w="1825" w:type="dxa"/>
          </w:tcPr>
          <w:p w:rsidR="001C31ED" w:rsidRPr="0032293D" w:rsidRDefault="001C31ED" w:rsidP="00D80745">
            <w:pPr>
              <w:spacing w:line="276" w:lineRule="auto"/>
              <w:ind w:right="237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BookmanOldStyle" w:hAnsi="Times New Roman" w:cs="Times New Roman"/>
                <w:b/>
                <w:color w:val="000000" w:themeColor="text1"/>
                <w:sz w:val="24"/>
                <w:szCs w:val="24"/>
              </w:rPr>
              <w:t>ECA</w:t>
            </w:r>
          </w:p>
        </w:tc>
        <w:tc>
          <w:tcPr>
            <w:tcW w:w="1620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3.12</w:t>
            </w:r>
          </w:p>
        </w:tc>
        <w:tc>
          <w:tcPr>
            <w:tcW w:w="1890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1.00</w:t>
            </w:r>
          </w:p>
        </w:tc>
        <w:tc>
          <w:tcPr>
            <w:tcW w:w="1761" w:type="dxa"/>
          </w:tcPr>
          <w:p w:rsidR="001C31ED" w:rsidRPr="0032293D" w:rsidRDefault="001C31ED" w:rsidP="00D80745">
            <w:pPr>
              <w:spacing w:line="276" w:lineRule="auto"/>
              <w:ind w:right="237"/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</w:pPr>
            <w:r w:rsidRPr="0032293D">
              <w:rPr>
                <w:rFonts w:ascii="Times New Roman" w:eastAsia="BookmanOldStyle" w:hAnsi="Times New Roman" w:cs="Times New Roman"/>
                <w:color w:val="000000" w:themeColor="text1"/>
                <w:sz w:val="24"/>
                <w:szCs w:val="24"/>
              </w:rPr>
              <w:t>296.32</w:t>
            </w:r>
          </w:p>
        </w:tc>
      </w:tr>
    </w:tbl>
    <w:p w:rsidR="001C31ED" w:rsidRDefault="001C31ED" w:rsidP="001C31ED">
      <w:r>
        <w:t xml:space="preserve">                     *RRT =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RT ofmetabolite</m:t>
            </m:r>
          </m:num>
          <m:den>
            <m:r>
              <w:rPr>
                <w:rFonts w:ascii="Cambria Math" w:hAnsi="Cambria Math"/>
              </w:rPr>
              <m:t>RT of ECA</m:t>
            </m:r>
          </m:den>
        </m:f>
      </m:oMath>
    </w:p>
    <w:p w:rsidR="001C31ED" w:rsidRDefault="001C31ED" w:rsidP="001C31ED"/>
    <w:p w:rsidR="001C31ED" w:rsidRPr="0032293D" w:rsidRDefault="001C31ED" w:rsidP="001C31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93D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 2:</w:t>
      </w:r>
      <w:r w:rsidRPr="0032293D">
        <w:rPr>
          <w:rFonts w:ascii="Times New Roman" w:hAnsi="Times New Roman" w:cs="Times New Roman"/>
          <w:b/>
          <w:sz w:val="24"/>
          <w:szCs w:val="24"/>
        </w:rPr>
        <w:t xml:space="preserve"> Matrix Effect data</w:t>
      </w:r>
      <w:r>
        <w:rPr>
          <w:rFonts w:ascii="Times New Roman" w:hAnsi="Times New Roman" w:cs="Times New Roman"/>
          <w:b/>
          <w:sz w:val="24"/>
          <w:szCs w:val="24"/>
        </w:rPr>
        <w:t xml:space="preserve"> obtained for M3</w:t>
      </w:r>
    </w:p>
    <w:tbl>
      <w:tblPr>
        <w:tblW w:w="90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276"/>
        <w:gridCol w:w="1417"/>
        <w:gridCol w:w="1418"/>
        <w:gridCol w:w="1275"/>
        <w:gridCol w:w="1134"/>
        <w:gridCol w:w="1258"/>
      </w:tblGrid>
      <w:tr w:rsidR="001C31ED" w:rsidRPr="0032293D" w:rsidTr="00D80745">
        <w:trPr>
          <w:trHeight w:val="300"/>
        </w:trPr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S.No.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LQC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MQC</w: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HQC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Matrix sample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Reference sample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Matrix sample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Reference sample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Matrix sample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Reference sample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12536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12628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213456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212654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306764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309728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206047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201503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319546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312065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11745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11615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218821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208707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316411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318004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11870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11952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209441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212542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309743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311982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12480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11866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212457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209159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307484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302297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13865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11944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209276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208879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312378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304732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Mean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12480.33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12142.83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211583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208907.3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312054.3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309801.3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SD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753.992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483.632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4409.498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4054.053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5087.793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5642.371</w:t>
            </w:r>
          </w:p>
        </w:tc>
      </w:tr>
      <w:tr w:rsidR="001C31ED" w:rsidRPr="0032293D" w:rsidTr="00D80745">
        <w:trPr>
          <w:trHeight w:val="300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% CV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3.982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2.084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1.941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1.631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1.822</w:t>
            </w:r>
          </w:p>
        </w:tc>
      </w:tr>
      <w:tr w:rsidR="001C31ED" w:rsidRPr="0032293D" w:rsidTr="00D80745">
        <w:trPr>
          <w:trHeight w:val="1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Matrix factor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97.29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98.73</w:t>
            </w:r>
          </w:p>
        </w:tc>
        <w:tc>
          <w:tcPr>
            <w:tcW w:w="2392" w:type="dxa"/>
            <w:gridSpan w:val="2"/>
            <w:shd w:val="clear" w:color="auto" w:fill="auto"/>
            <w:noWrap/>
            <w:vAlign w:val="bottom"/>
            <w:hideMark/>
          </w:tcPr>
          <w:p w:rsidR="001C31ED" w:rsidRPr="0032293D" w:rsidRDefault="001C31ED" w:rsidP="00D80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22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99.27</w:t>
            </w:r>
          </w:p>
        </w:tc>
      </w:tr>
    </w:tbl>
    <w:p w:rsidR="001C31ED" w:rsidRPr="001C31ED" w:rsidRDefault="001C31ED" w:rsidP="001C31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31ED" w:rsidRPr="001C31ED" w:rsidSect="0056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9DD"/>
    <w:rsid w:val="000925EC"/>
    <w:rsid w:val="001C31ED"/>
    <w:rsid w:val="00567EF3"/>
    <w:rsid w:val="00862087"/>
    <w:rsid w:val="00D22FD9"/>
    <w:rsid w:val="00F6485C"/>
    <w:rsid w:val="00FC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E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1E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C31E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C31ED"/>
    <w:rPr>
      <w:rFonts w:ascii="Arial" w:eastAsia="Times New Roman" w:hAnsi="Arial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E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dcterms:created xsi:type="dcterms:W3CDTF">2020-11-26T16:45:00Z</dcterms:created>
  <dcterms:modified xsi:type="dcterms:W3CDTF">2020-11-27T19:12:00Z</dcterms:modified>
</cp:coreProperties>
</file>